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E5" w:rsidRPr="00C16D3A" w:rsidRDefault="005159E5" w:rsidP="005159E5">
      <w:pPr>
        <w:pStyle w:val="Bezodstpw"/>
        <w:jc w:val="center"/>
        <w:rPr>
          <w:shadow/>
          <w:color w:val="FF0000"/>
          <w:sz w:val="180"/>
          <w:szCs w:val="180"/>
        </w:rPr>
      </w:pPr>
      <w:r w:rsidRPr="00C16D3A">
        <w:rPr>
          <w:shadow/>
          <w:color w:val="FF0000"/>
          <w:sz w:val="180"/>
          <w:szCs w:val="180"/>
        </w:rPr>
        <w:t>Raport</w:t>
      </w:r>
    </w:p>
    <w:p w:rsidR="005159E5" w:rsidRDefault="005159E5" w:rsidP="005159E5">
      <w:pPr>
        <w:pStyle w:val="Bezodstpw"/>
        <w:jc w:val="center"/>
        <w:rPr>
          <w:shadow/>
          <w:color w:val="FF0000"/>
          <w:sz w:val="180"/>
          <w:szCs w:val="180"/>
        </w:rPr>
      </w:pPr>
      <w:r w:rsidRPr="00C16D3A">
        <w:rPr>
          <w:shadow/>
          <w:color w:val="FF0000"/>
          <w:sz w:val="180"/>
          <w:szCs w:val="180"/>
        </w:rPr>
        <w:t>Tygodniowy</w:t>
      </w:r>
    </w:p>
    <w:p w:rsidR="005159E5" w:rsidRPr="00BB2EC3" w:rsidRDefault="005159E5" w:rsidP="005159E5">
      <w:pPr>
        <w:pStyle w:val="Bezodstpw"/>
        <w:jc w:val="center"/>
        <w:rPr>
          <w:shadow/>
          <w:color w:val="FF0000"/>
          <w:sz w:val="100"/>
          <w:szCs w:val="100"/>
        </w:rPr>
      </w:pPr>
      <w:r w:rsidRPr="00BB2EC3">
        <w:rPr>
          <w:shadow/>
          <w:color w:val="FF0000"/>
          <w:sz w:val="100"/>
          <w:szCs w:val="100"/>
        </w:rPr>
        <w:t>o sytuacji na</w:t>
      </w:r>
    </w:p>
    <w:p w:rsidR="005159E5" w:rsidRPr="00BB2EC3" w:rsidRDefault="005159E5" w:rsidP="005159E5">
      <w:pPr>
        <w:pStyle w:val="Bezodstpw"/>
        <w:jc w:val="center"/>
        <w:rPr>
          <w:shadow/>
          <w:color w:val="FF0000"/>
          <w:sz w:val="100"/>
          <w:szCs w:val="100"/>
        </w:rPr>
      </w:pPr>
      <w:r w:rsidRPr="00BB2EC3">
        <w:rPr>
          <w:shadow/>
          <w:color w:val="FF0000"/>
          <w:sz w:val="100"/>
          <w:szCs w:val="100"/>
        </w:rPr>
        <w:t>rynkach finansowych</w:t>
      </w:r>
    </w:p>
    <w:p w:rsidR="005159E5" w:rsidRPr="00400806" w:rsidRDefault="005159E5" w:rsidP="005159E5">
      <w:pPr>
        <w:pStyle w:val="Bezodstpw"/>
        <w:jc w:val="center"/>
        <w:rPr>
          <w:sz w:val="48"/>
          <w:szCs w:val="48"/>
        </w:rPr>
      </w:pPr>
    </w:p>
    <w:p w:rsidR="005159E5" w:rsidRDefault="005159E5" w:rsidP="005159E5">
      <w:pPr>
        <w:pStyle w:val="Bezodstpw"/>
        <w:jc w:val="center"/>
        <w:rPr>
          <w:sz w:val="48"/>
          <w:szCs w:val="48"/>
        </w:rPr>
      </w:pPr>
    </w:p>
    <w:p w:rsidR="005159E5" w:rsidRPr="009A4255" w:rsidRDefault="005159E5" w:rsidP="005159E5">
      <w:pPr>
        <w:pStyle w:val="Bezodstpw"/>
        <w:jc w:val="center"/>
        <w:rPr>
          <w:shadow/>
          <w:sz w:val="100"/>
          <w:szCs w:val="100"/>
          <w:u w:val="single"/>
        </w:rPr>
      </w:pPr>
      <w:r w:rsidRPr="009A4255">
        <w:rPr>
          <w:shadow/>
          <w:sz w:val="100"/>
          <w:szCs w:val="100"/>
          <w:u w:val="single"/>
        </w:rPr>
        <w:t>Rynek walutowy</w:t>
      </w:r>
    </w:p>
    <w:p w:rsidR="005159E5" w:rsidRPr="009A4255" w:rsidRDefault="005159E5" w:rsidP="005159E5">
      <w:pPr>
        <w:pStyle w:val="Bezodstpw"/>
        <w:jc w:val="center"/>
        <w:rPr>
          <w:shadow/>
          <w:sz w:val="100"/>
          <w:szCs w:val="100"/>
        </w:rPr>
      </w:pPr>
    </w:p>
    <w:p w:rsidR="005159E5" w:rsidRPr="009A4255" w:rsidRDefault="005159E5" w:rsidP="005159E5">
      <w:pPr>
        <w:pStyle w:val="Bezodstpw"/>
        <w:jc w:val="center"/>
        <w:rPr>
          <w:shadow/>
          <w:sz w:val="100"/>
          <w:szCs w:val="100"/>
          <w:u w:val="single"/>
        </w:rPr>
      </w:pPr>
      <w:r w:rsidRPr="009A4255">
        <w:rPr>
          <w:shadow/>
          <w:sz w:val="100"/>
          <w:szCs w:val="100"/>
          <w:u w:val="single"/>
        </w:rPr>
        <w:t>Rynek akcji</w:t>
      </w:r>
    </w:p>
    <w:p w:rsidR="005159E5" w:rsidRDefault="005159E5" w:rsidP="005159E5">
      <w:pPr>
        <w:pStyle w:val="Bezodstpw"/>
        <w:jc w:val="both"/>
      </w:pPr>
    </w:p>
    <w:p w:rsidR="005159E5" w:rsidRDefault="005159E5" w:rsidP="005159E5">
      <w:pPr>
        <w:pStyle w:val="Bezodstpw"/>
        <w:jc w:val="both"/>
      </w:pPr>
    </w:p>
    <w:p w:rsidR="005159E5" w:rsidRDefault="005159E5" w:rsidP="005159E5">
      <w:pPr>
        <w:pStyle w:val="Bezodstpw"/>
        <w:jc w:val="both"/>
      </w:pPr>
    </w:p>
    <w:p w:rsidR="005159E5" w:rsidRDefault="005159E5" w:rsidP="005159E5">
      <w:pPr>
        <w:pStyle w:val="Bezodstpw"/>
        <w:jc w:val="both"/>
      </w:pPr>
    </w:p>
    <w:p w:rsidR="005159E5" w:rsidRDefault="005159E5" w:rsidP="005159E5">
      <w:pPr>
        <w:pStyle w:val="Bezodstpw"/>
        <w:jc w:val="both"/>
      </w:pPr>
    </w:p>
    <w:p w:rsidR="005159E5" w:rsidRDefault="005159E5" w:rsidP="005159E5">
      <w:pPr>
        <w:pStyle w:val="Bezodstpw"/>
        <w:jc w:val="both"/>
      </w:pPr>
    </w:p>
    <w:p w:rsidR="005159E5" w:rsidRDefault="005159E5" w:rsidP="005159E5">
      <w:pPr>
        <w:pStyle w:val="Bezodstpw"/>
        <w:jc w:val="both"/>
      </w:pPr>
    </w:p>
    <w:p w:rsidR="005159E5" w:rsidRDefault="005159E5" w:rsidP="005159E5">
      <w:pPr>
        <w:pStyle w:val="Bezodstpw"/>
        <w:jc w:val="both"/>
      </w:pPr>
    </w:p>
    <w:p w:rsidR="005159E5" w:rsidRPr="00D72F94" w:rsidRDefault="005159E5" w:rsidP="005159E5">
      <w:pPr>
        <w:pStyle w:val="Bezodstpw"/>
        <w:jc w:val="both"/>
        <w:rPr>
          <w:shadow/>
          <w:sz w:val="24"/>
          <w:szCs w:val="24"/>
        </w:rPr>
      </w:pPr>
      <w:r w:rsidRPr="00D72F94">
        <w:rPr>
          <w:shadow/>
          <w:sz w:val="24"/>
          <w:szCs w:val="24"/>
        </w:rPr>
        <w:lastRenderedPageBreak/>
        <w:t xml:space="preserve">Poniedziałek, </w:t>
      </w:r>
      <w:r>
        <w:rPr>
          <w:shadow/>
          <w:sz w:val="24"/>
          <w:szCs w:val="24"/>
        </w:rPr>
        <w:t xml:space="preserve">1 grudnia </w:t>
      </w:r>
      <w:r w:rsidRPr="00D72F94">
        <w:rPr>
          <w:shadow/>
          <w:sz w:val="24"/>
          <w:szCs w:val="24"/>
        </w:rPr>
        <w:t>2014 roku</w:t>
      </w:r>
    </w:p>
    <w:p w:rsidR="005159E5" w:rsidRDefault="005159E5" w:rsidP="005159E5">
      <w:pPr>
        <w:pStyle w:val="Bezodstpw"/>
        <w:jc w:val="both"/>
      </w:pPr>
    </w:p>
    <w:p w:rsidR="005159E5" w:rsidRDefault="005159E5" w:rsidP="005159E5">
      <w:pPr>
        <w:pStyle w:val="Bezodstpw"/>
        <w:pBdr>
          <w:top w:val="single" w:sz="4" w:space="1" w:color="auto"/>
          <w:left w:val="single" w:sz="4" w:space="4" w:color="auto"/>
          <w:bottom w:val="single" w:sz="4" w:space="1" w:color="auto"/>
          <w:right w:val="single" w:sz="4" w:space="4" w:color="auto"/>
        </w:pBdr>
        <w:jc w:val="center"/>
      </w:pPr>
      <w:r>
        <w:t>Kurs USD/PLN – perspektywa długoterminowa, kurs z 28 listopada 2014 roku = 3,3602</w:t>
      </w:r>
    </w:p>
    <w:p w:rsidR="005159E5" w:rsidRDefault="005159E5" w:rsidP="005159E5">
      <w:pPr>
        <w:pStyle w:val="Bezodstpw"/>
        <w:jc w:val="both"/>
      </w:pPr>
    </w:p>
    <w:p w:rsidR="005159E5" w:rsidRDefault="005159E5" w:rsidP="005159E5">
      <w:pPr>
        <w:pStyle w:val="Bezodstpw"/>
        <w:jc w:val="both"/>
      </w:pPr>
      <w:r>
        <w:rPr>
          <w:noProof/>
        </w:rPr>
        <w:drawing>
          <wp:inline distT="0" distB="0" distL="0" distR="0">
            <wp:extent cx="3790950" cy="2295525"/>
            <wp:effectExtent l="19050" t="0" r="0" b="0"/>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790950" cy="2295525"/>
                    </a:xfrm>
                    <a:prstGeom prst="rect">
                      <a:avLst/>
                    </a:prstGeom>
                    <a:noFill/>
                  </pic:spPr>
                </pic:pic>
              </a:graphicData>
            </a:graphic>
          </wp:inline>
        </w:drawing>
      </w:r>
    </w:p>
    <w:p w:rsidR="005159E5" w:rsidRDefault="005159E5" w:rsidP="005159E5">
      <w:pPr>
        <w:pStyle w:val="Bezodstpw"/>
        <w:jc w:val="both"/>
      </w:pPr>
    </w:p>
    <w:p w:rsidR="005159E5" w:rsidRDefault="005159E5" w:rsidP="005159E5">
      <w:pPr>
        <w:pStyle w:val="Bezodstpw"/>
        <w:jc w:val="both"/>
      </w:pPr>
      <w:r>
        <w:t xml:space="preserve">Kurs dolara (w złotych) doszedł do </w:t>
      </w:r>
      <w:r w:rsidRPr="00EC4DE7">
        <w:rPr>
          <w:b/>
        </w:rPr>
        <w:t xml:space="preserve">długoterminowej </w:t>
      </w:r>
      <w:r>
        <w:rPr>
          <w:b/>
        </w:rPr>
        <w:t xml:space="preserve">spadkowej </w:t>
      </w:r>
      <w:r w:rsidRPr="00EC4DE7">
        <w:rPr>
          <w:b/>
        </w:rPr>
        <w:t>linii trendu</w:t>
      </w:r>
      <w:r>
        <w:t xml:space="preserve"> poprowadzonej przez szczyty z lutego 2009 roku oraz czerwca 2012 roku. Linia ta okazała się </w:t>
      </w:r>
      <w:r w:rsidRPr="00EC4DE7">
        <w:rPr>
          <w:b/>
        </w:rPr>
        <w:t>bardzo ważny</w:t>
      </w:r>
      <w:r>
        <w:rPr>
          <w:b/>
        </w:rPr>
        <w:t>m</w:t>
      </w:r>
      <w:r w:rsidRPr="00EC4DE7">
        <w:rPr>
          <w:b/>
        </w:rPr>
        <w:t xml:space="preserve"> op</w:t>
      </w:r>
      <w:r>
        <w:rPr>
          <w:b/>
        </w:rPr>
        <w:t>orem.</w:t>
      </w:r>
      <w:r>
        <w:t xml:space="preserve"> W związku z tym w najbliższych kilku miesiącach można oczekiwać spadków. Przewidując napływ kapitału zagranicznego na giełdę warszawską w okresie od końca października 2014 roku do końca kwietnia 2015 roku oczekuje w tym okresie umocnienia kursu złotego, czyli m.in. spadku kursu dolara amerykańskiego w złotych. Bardzo ważnym wsparciem jest wzrostowa linia trendu poprowadzone przez dołki z lipca 2008 roku oraz czerwca 2014 roku, która aktualnie przebiega na poziomie </w:t>
      </w:r>
      <w:r w:rsidRPr="001C5D63">
        <w:rPr>
          <w:b/>
          <w:color w:val="FF0000"/>
        </w:rPr>
        <w:t>3,084.</w:t>
      </w:r>
      <w:r>
        <w:t xml:space="preserve"> </w:t>
      </w:r>
    </w:p>
    <w:p w:rsidR="005159E5" w:rsidRDefault="005159E5" w:rsidP="005159E5">
      <w:pPr>
        <w:pStyle w:val="Bezodstpw"/>
        <w:jc w:val="both"/>
      </w:pPr>
    </w:p>
    <w:p w:rsidR="005159E5" w:rsidRDefault="005159E5" w:rsidP="005159E5">
      <w:pPr>
        <w:pStyle w:val="Bezodstpw"/>
        <w:pBdr>
          <w:top w:val="single" w:sz="4" w:space="1" w:color="auto"/>
          <w:left w:val="single" w:sz="4" w:space="4" w:color="auto"/>
          <w:bottom w:val="single" w:sz="4" w:space="1" w:color="auto"/>
          <w:right w:val="single" w:sz="4" w:space="4" w:color="auto"/>
        </w:pBdr>
        <w:jc w:val="center"/>
      </w:pPr>
      <w:r>
        <w:t>Kurs EUR/PLN – perspektywa długoterminowa, kurs z 28 listopada 2014 roku = 4,1810</w:t>
      </w:r>
    </w:p>
    <w:p w:rsidR="005159E5" w:rsidRDefault="005159E5" w:rsidP="005159E5">
      <w:pPr>
        <w:pStyle w:val="Bezodstpw"/>
        <w:jc w:val="both"/>
      </w:pPr>
    </w:p>
    <w:p w:rsidR="005159E5" w:rsidRDefault="005159E5" w:rsidP="005159E5">
      <w:pPr>
        <w:pStyle w:val="Bezodstpw"/>
        <w:jc w:val="both"/>
      </w:pPr>
      <w:r>
        <w:rPr>
          <w:noProof/>
        </w:rPr>
        <w:drawing>
          <wp:inline distT="0" distB="0" distL="0" distR="0">
            <wp:extent cx="3829050" cy="2333625"/>
            <wp:effectExtent l="19050" t="0" r="0"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29050" cy="2333625"/>
                    </a:xfrm>
                    <a:prstGeom prst="rect">
                      <a:avLst/>
                    </a:prstGeom>
                    <a:noFill/>
                  </pic:spPr>
                </pic:pic>
              </a:graphicData>
            </a:graphic>
          </wp:inline>
        </w:drawing>
      </w:r>
    </w:p>
    <w:p w:rsidR="005159E5" w:rsidRDefault="005159E5" w:rsidP="005159E5">
      <w:pPr>
        <w:pStyle w:val="Bezodstpw"/>
        <w:jc w:val="both"/>
      </w:pPr>
    </w:p>
    <w:p w:rsidR="005159E5" w:rsidRDefault="005159E5" w:rsidP="005159E5">
      <w:pPr>
        <w:pStyle w:val="Bezodstpw"/>
        <w:jc w:val="both"/>
      </w:pPr>
      <w:r>
        <w:t xml:space="preserve">Kurs euro (w złotych) znajduje się poniżej </w:t>
      </w:r>
      <w:r w:rsidRPr="00EC4DE7">
        <w:rPr>
          <w:b/>
        </w:rPr>
        <w:t>długoterminowej spadkowej linii trendu</w:t>
      </w:r>
      <w:r>
        <w:t xml:space="preserve"> poprowadzonej przez szczyty z lutego 2009 roku oraz grudnia 2011 roku. Również w tym przypadku linia na stanowi </w:t>
      </w:r>
      <w:r w:rsidRPr="00EC4DE7">
        <w:rPr>
          <w:b/>
        </w:rPr>
        <w:t>bardzo ważny opór</w:t>
      </w:r>
      <w:r>
        <w:t xml:space="preserve">. W chwili obecnej przebiega ona na poziomie około </w:t>
      </w:r>
      <w:r w:rsidRPr="003A3B5C">
        <w:rPr>
          <w:color w:val="000000" w:themeColor="text1"/>
        </w:rPr>
        <w:t>4,25</w:t>
      </w:r>
      <w:r>
        <w:t xml:space="preserve">. Sądzę, że jest realne, że kurs powtórnie w krótkim okresie wzrośnie w kierunku tego poziomu, później jednak (w okresie do końca kwietnia 2015 roku) można będzie oczekiwać spadków kursu. </w:t>
      </w:r>
      <w:r w:rsidRPr="001C5D63">
        <w:t xml:space="preserve">Przewidując napływ kapitału zagranicznego na giełdę warszawską oczekuje w tym okresie umocnienia kursu złotego, czyli m.in. spadku kursu </w:t>
      </w:r>
      <w:r>
        <w:t xml:space="preserve">euro (w złotych) do poziomu </w:t>
      </w:r>
      <w:r w:rsidRPr="003A3B5C">
        <w:rPr>
          <w:b/>
          <w:color w:val="FF0000"/>
        </w:rPr>
        <w:t>4,089</w:t>
      </w:r>
      <w:r>
        <w:t xml:space="preserve"> stanowiącego ważne wsparcie (dołki z marca 2012 roku oraz czerwca 2014 roku – pozioma linia). </w:t>
      </w:r>
    </w:p>
    <w:p w:rsidR="005159E5" w:rsidRDefault="005159E5" w:rsidP="005159E5">
      <w:pPr>
        <w:pStyle w:val="Bezodstpw"/>
        <w:pBdr>
          <w:top w:val="single" w:sz="4" w:space="1" w:color="auto"/>
          <w:left w:val="single" w:sz="4" w:space="4" w:color="auto"/>
          <w:bottom w:val="single" w:sz="4" w:space="1" w:color="auto"/>
          <w:right w:val="single" w:sz="4" w:space="4" w:color="auto"/>
        </w:pBdr>
        <w:jc w:val="center"/>
      </w:pPr>
      <w:r>
        <w:lastRenderedPageBreak/>
        <w:t xml:space="preserve">Spadki cen surowców a sytuacja na polskim rynku akcji w krótkiej perspektywie </w:t>
      </w:r>
    </w:p>
    <w:p w:rsidR="005159E5" w:rsidRDefault="005159E5" w:rsidP="005159E5">
      <w:pPr>
        <w:pStyle w:val="Bezodstpw"/>
        <w:jc w:val="both"/>
      </w:pPr>
    </w:p>
    <w:p w:rsidR="005159E5" w:rsidRDefault="005159E5" w:rsidP="005159E5">
      <w:pPr>
        <w:pStyle w:val="Bezodstpw"/>
        <w:jc w:val="both"/>
      </w:pPr>
      <w:r>
        <w:t xml:space="preserve">Ostatni tydzień przyniósł jedynie selektywną poprawę sytuacji na polskim rynku akcji. Na wartości zyskał WIG oraz indeks średnich spółek (WIG 50), spadły natomiast indeksy małych (WIG250) i dużych spółek (WIG 20). </w:t>
      </w:r>
    </w:p>
    <w:p w:rsidR="005159E5" w:rsidRDefault="005159E5" w:rsidP="005159E5">
      <w:pPr>
        <w:pStyle w:val="Bezodstpw"/>
        <w:jc w:val="both"/>
      </w:pPr>
    </w:p>
    <w:p w:rsidR="005159E5" w:rsidRDefault="005159E5" w:rsidP="005159E5">
      <w:pPr>
        <w:pStyle w:val="Bezodstpw"/>
        <w:jc w:val="both"/>
      </w:pPr>
      <w:r>
        <w:t xml:space="preserve">W rezultacie </w:t>
      </w:r>
      <w:r w:rsidRPr="00871336">
        <w:rPr>
          <w:b/>
        </w:rPr>
        <w:t xml:space="preserve">listopad </w:t>
      </w:r>
      <w:r>
        <w:t xml:space="preserve">okazał się </w:t>
      </w:r>
      <w:r w:rsidRPr="00871336">
        <w:rPr>
          <w:b/>
        </w:rPr>
        <w:t>generalnie nieudany dla posiadaczy polskich akcji</w:t>
      </w:r>
      <w:r>
        <w:t xml:space="preserve">. Na wartości straciły wszystkie cztery indeksy opisujące sytuacji na giełdzie warszawskiej. </w:t>
      </w:r>
    </w:p>
    <w:p w:rsidR="005159E5" w:rsidRDefault="005159E5" w:rsidP="005159E5">
      <w:pPr>
        <w:pStyle w:val="Bezodstpw"/>
        <w:jc w:val="both"/>
      </w:pPr>
    </w:p>
    <w:p w:rsidR="005159E5" w:rsidRDefault="005159E5" w:rsidP="005159E5">
      <w:pPr>
        <w:pStyle w:val="Bezodstpw"/>
        <w:jc w:val="both"/>
      </w:pPr>
      <w:r>
        <w:t xml:space="preserve">W tym samym miesiącu (!) </w:t>
      </w:r>
      <w:r w:rsidRPr="00871336">
        <w:rPr>
          <w:b/>
        </w:rPr>
        <w:t>wiele innych indeksów na świecie wzrosło</w:t>
      </w:r>
      <w:r>
        <w:t>, część z nich bila rekordy historyczne, a niektóre roczne bądź kilkuletnie. Rodzi się pytanie skąd wzięła się taka relatywna słabość polskiego rynku akcji i czy ma szansę się ona zakończyć ?</w:t>
      </w:r>
    </w:p>
    <w:p w:rsidR="005159E5" w:rsidRDefault="005159E5" w:rsidP="005159E5">
      <w:pPr>
        <w:pStyle w:val="Bezodstpw"/>
        <w:jc w:val="both"/>
      </w:pPr>
    </w:p>
    <w:p w:rsidR="005159E5" w:rsidRDefault="005159E5" w:rsidP="005159E5">
      <w:pPr>
        <w:pStyle w:val="Bezodstpw"/>
        <w:jc w:val="both"/>
      </w:pPr>
      <w:r>
        <w:t xml:space="preserve">Stopa zwrotu z indeksów giełdowych w listopadzie 2014 roku </w:t>
      </w:r>
    </w:p>
    <w:tbl>
      <w:tblPr>
        <w:tblStyle w:val="Tabela-Siatka"/>
        <w:tblW w:w="0" w:type="auto"/>
        <w:tblLook w:val="04A0"/>
      </w:tblPr>
      <w:tblGrid>
        <w:gridCol w:w="4606"/>
        <w:gridCol w:w="4606"/>
      </w:tblGrid>
      <w:tr w:rsidR="005159E5" w:rsidTr="0021637A">
        <w:tc>
          <w:tcPr>
            <w:tcW w:w="4606" w:type="dxa"/>
          </w:tcPr>
          <w:p w:rsidR="005159E5" w:rsidRDefault="005159E5" w:rsidP="0021637A">
            <w:pPr>
              <w:pStyle w:val="Bezodstpw"/>
              <w:jc w:val="center"/>
            </w:pPr>
            <w:r>
              <w:t xml:space="preserve">USA – </w:t>
            </w:r>
            <w:proofErr w:type="spellStart"/>
            <w:r>
              <w:t>S&amp;P</w:t>
            </w:r>
            <w:proofErr w:type="spellEnd"/>
            <w:r>
              <w:t xml:space="preserve"> 500</w:t>
            </w:r>
          </w:p>
        </w:tc>
        <w:tc>
          <w:tcPr>
            <w:tcW w:w="4606" w:type="dxa"/>
          </w:tcPr>
          <w:p w:rsidR="005159E5" w:rsidRDefault="005159E5" w:rsidP="0021637A">
            <w:pPr>
              <w:pStyle w:val="Bezodstpw"/>
              <w:jc w:val="center"/>
            </w:pPr>
            <w:r>
              <w:t>+ 2,5 %</w:t>
            </w:r>
          </w:p>
        </w:tc>
      </w:tr>
      <w:tr w:rsidR="005159E5" w:rsidTr="0021637A">
        <w:tc>
          <w:tcPr>
            <w:tcW w:w="4606" w:type="dxa"/>
          </w:tcPr>
          <w:p w:rsidR="005159E5" w:rsidRDefault="005159E5" w:rsidP="0021637A">
            <w:pPr>
              <w:pStyle w:val="Bezodstpw"/>
              <w:jc w:val="center"/>
            </w:pPr>
            <w:r>
              <w:t>Niemcy - DAX</w:t>
            </w:r>
          </w:p>
        </w:tc>
        <w:tc>
          <w:tcPr>
            <w:tcW w:w="4606" w:type="dxa"/>
          </w:tcPr>
          <w:p w:rsidR="005159E5" w:rsidRDefault="005159E5" w:rsidP="0021637A">
            <w:pPr>
              <w:pStyle w:val="Bezodstpw"/>
              <w:jc w:val="center"/>
            </w:pPr>
            <w:r>
              <w:t>+ 7,0 %</w:t>
            </w:r>
          </w:p>
        </w:tc>
      </w:tr>
      <w:tr w:rsidR="005159E5" w:rsidTr="0021637A">
        <w:tc>
          <w:tcPr>
            <w:tcW w:w="4606" w:type="dxa"/>
          </w:tcPr>
          <w:p w:rsidR="005159E5" w:rsidRDefault="005159E5" w:rsidP="0021637A">
            <w:pPr>
              <w:pStyle w:val="Bezodstpw"/>
              <w:jc w:val="center"/>
            </w:pPr>
            <w:r>
              <w:t>Japonia – NIKKEI 225</w:t>
            </w:r>
          </w:p>
        </w:tc>
        <w:tc>
          <w:tcPr>
            <w:tcW w:w="4606" w:type="dxa"/>
          </w:tcPr>
          <w:p w:rsidR="005159E5" w:rsidRDefault="005159E5" w:rsidP="0021637A">
            <w:pPr>
              <w:pStyle w:val="Bezodstpw"/>
              <w:jc w:val="center"/>
            </w:pPr>
            <w:r>
              <w:t>+ 6,4 %</w:t>
            </w:r>
          </w:p>
        </w:tc>
      </w:tr>
      <w:tr w:rsidR="005159E5" w:rsidTr="0021637A">
        <w:tc>
          <w:tcPr>
            <w:tcW w:w="4606" w:type="dxa"/>
          </w:tcPr>
          <w:p w:rsidR="005159E5" w:rsidRDefault="005159E5" w:rsidP="0021637A">
            <w:pPr>
              <w:pStyle w:val="Bezodstpw"/>
              <w:jc w:val="center"/>
            </w:pPr>
            <w:r>
              <w:t xml:space="preserve">Brazylia – </w:t>
            </w:r>
            <w:proofErr w:type="spellStart"/>
            <w:r>
              <w:t>Bovespa</w:t>
            </w:r>
            <w:proofErr w:type="spellEnd"/>
          </w:p>
        </w:tc>
        <w:tc>
          <w:tcPr>
            <w:tcW w:w="4606" w:type="dxa"/>
          </w:tcPr>
          <w:p w:rsidR="005159E5" w:rsidRDefault="005159E5" w:rsidP="0021637A">
            <w:pPr>
              <w:pStyle w:val="Bezodstpw"/>
              <w:jc w:val="center"/>
            </w:pPr>
            <w:r>
              <w:t>+ 0,1 %</w:t>
            </w:r>
          </w:p>
        </w:tc>
      </w:tr>
      <w:tr w:rsidR="005159E5" w:rsidTr="0021637A">
        <w:tc>
          <w:tcPr>
            <w:tcW w:w="4606" w:type="dxa"/>
          </w:tcPr>
          <w:p w:rsidR="005159E5" w:rsidRDefault="005159E5" w:rsidP="0021637A">
            <w:pPr>
              <w:pStyle w:val="Bezodstpw"/>
              <w:jc w:val="center"/>
            </w:pPr>
            <w:r>
              <w:t>Korea Południowa – KOSPI</w:t>
            </w:r>
          </w:p>
        </w:tc>
        <w:tc>
          <w:tcPr>
            <w:tcW w:w="4606" w:type="dxa"/>
          </w:tcPr>
          <w:p w:rsidR="005159E5" w:rsidRDefault="005159E5" w:rsidP="0021637A">
            <w:pPr>
              <w:pStyle w:val="Bezodstpw"/>
              <w:jc w:val="center"/>
            </w:pPr>
            <w:r>
              <w:t>+ 0,8 %</w:t>
            </w:r>
          </w:p>
        </w:tc>
      </w:tr>
      <w:tr w:rsidR="005159E5" w:rsidTr="0021637A">
        <w:tc>
          <w:tcPr>
            <w:tcW w:w="4606" w:type="dxa"/>
          </w:tcPr>
          <w:p w:rsidR="005159E5" w:rsidRDefault="005159E5" w:rsidP="0021637A">
            <w:pPr>
              <w:pStyle w:val="Bezodstpw"/>
              <w:jc w:val="center"/>
            </w:pPr>
            <w:r>
              <w:t>Turcja – XU 100</w:t>
            </w:r>
          </w:p>
        </w:tc>
        <w:tc>
          <w:tcPr>
            <w:tcW w:w="4606" w:type="dxa"/>
          </w:tcPr>
          <w:p w:rsidR="005159E5" w:rsidRDefault="005159E5" w:rsidP="0021637A">
            <w:pPr>
              <w:pStyle w:val="Bezodstpw"/>
              <w:jc w:val="center"/>
            </w:pPr>
            <w:r>
              <w:t>+ 6,9 %</w:t>
            </w:r>
          </w:p>
        </w:tc>
      </w:tr>
    </w:tbl>
    <w:p w:rsidR="005159E5" w:rsidRDefault="005159E5" w:rsidP="005159E5">
      <w:pPr>
        <w:pStyle w:val="Bezodstpw"/>
        <w:jc w:val="both"/>
      </w:pPr>
    </w:p>
    <w:p w:rsidR="005159E5" w:rsidRDefault="005159E5" w:rsidP="005159E5">
      <w:pPr>
        <w:pStyle w:val="Bezodstpw"/>
        <w:jc w:val="both"/>
      </w:pPr>
      <w:r>
        <w:t xml:space="preserve">Przede wszystkim warto zauważyć, że okresy relatywnej </w:t>
      </w:r>
      <w:r w:rsidRPr="00871336">
        <w:rPr>
          <w:b/>
        </w:rPr>
        <w:t>słabości polskiego rynku</w:t>
      </w:r>
      <w:r>
        <w:t xml:space="preserve"> akcji w ostatnich kilku latach nie były czymś dziwnym. </w:t>
      </w:r>
    </w:p>
    <w:p w:rsidR="005159E5" w:rsidRDefault="005159E5" w:rsidP="005159E5">
      <w:pPr>
        <w:pStyle w:val="Bezodstpw"/>
        <w:jc w:val="both"/>
      </w:pPr>
    </w:p>
    <w:p w:rsidR="005159E5" w:rsidRDefault="005159E5" w:rsidP="005159E5">
      <w:pPr>
        <w:pStyle w:val="Bezodstpw"/>
        <w:jc w:val="both"/>
      </w:pPr>
      <w:r>
        <w:t xml:space="preserve">Wystarczy choćby popatrzeć na wykres siły względnej WIG 20 / DAX, na którym to wykresie dostrzeżemy, że od lipca 2006 roku weszliśmy w okres, w którym WIG 20 zachowywał się o wiele gorzej, niż DAX. </w:t>
      </w:r>
    </w:p>
    <w:p w:rsidR="005159E5" w:rsidRDefault="005159E5" w:rsidP="005159E5">
      <w:pPr>
        <w:pStyle w:val="Bezodstpw"/>
        <w:jc w:val="both"/>
      </w:pPr>
    </w:p>
    <w:p w:rsidR="005159E5" w:rsidRDefault="005159E5" w:rsidP="005159E5">
      <w:pPr>
        <w:pStyle w:val="Bezodstpw"/>
        <w:jc w:val="both"/>
      </w:pPr>
      <w:r>
        <w:rPr>
          <w:noProof/>
        </w:rPr>
        <w:drawing>
          <wp:inline distT="0" distB="0" distL="0" distR="0">
            <wp:extent cx="4810125" cy="2895600"/>
            <wp:effectExtent l="19050" t="0" r="9525" b="0"/>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810125" cy="2895600"/>
                    </a:xfrm>
                    <a:prstGeom prst="rect">
                      <a:avLst/>
                    </a:prstGeom>
                    <a:noFill/>
                  </pic:spPr>
                </pic:pic>
              </a:graphicData>
            </a:graphic>
          </wp:inline>
        </w:drawing>
      </w:r>
    </w:p>
    <w:p w:rsidR="005159E5" w:rsidRDefault="005159E5" w:rsidP="005159E5">
      <w:pPr>
        <w:pStyle w:val="Bezodstpw"/>
        <w:jc w:val="both"/>
      </w:pPr>
    </w:p>
    <w:p w:rsidR="005159E5" w:rsidRDefault="005159E5" w:rsidP="005159E5">
      <w:pPr>
        <w:pStyle w:val="Bezodstpw"/>
        <w:jc w:val="both"/>
      </w:pPr>
      <w:r>
        <w:t xml:space="preserve">Ta relatywna </w:t>
      </w:r>
      <w:r w:rsidRPr="00871336">
        <w:rPr>
          <w:b/>
        </w:rPr>
        <w:t>słabość WIG 20 w stosunku do DAX</w:t>
      </w:r>
      <w:r>
        <w:t xml:space="preserve"> uwidoczniła się także w minionym tygodniu. Wydaje się jednak, że </w:t>
      </w:r>
      <w:r w:rsidRPr="00871336">
        <w:rPr>
          <w:b/>
        </w:rPr>
        <w:t>ma szansę się ona wkrótce skończyć</w:t>
      </w:r>
      <w:r>
        <w:t xml:space="preserve">. Na wykresie siły względnej stworzonym w oparciu o dane tygodniowe oscylator stochastyczny doszedł do ważnego wsparcia (pokazuje to powyższy wykres). </w:t>
      </w:r>
    </w:p>
    <w:p w:rsidR="005159E5" w:rsidRDefault="005159E5" w:rsidP="005159E5">
      <w:pPr>
        <w:pStyle w:val="Bezodstpw"/>
        <w:jc w:val="both"/>
      </w:pPr>
    </w:p>
    <w:p w:rsidR="005159E5" w:rsidRDefault="005159E5" w:rsidP="005159E5">
      <w:pPr>
        <w:pStyle w:val="Bezodstpw"/>
        <w:jc w:val="both"/>
      </w:pPr>
      <w:r>
        <w:lastRenderedPageBreak/>
        <w:t xml:space="preserve">Przyznam, że osobiście liczyłem na to, że proces odwracania siły względnej WIG 20 / DAX rozpocznie się jeszcze w listopadzie. Okazało się jednak, że do tego nie doszło. </w:t>
      </w:r>
    </w:p>
    <w:p w:rsidR="005159E5" w:rsidRDefault="005159E5" w:rsidP="005159E5">
      <w:pPr>
        <w:pStyle w:val="Bezodstpw"/>
        <w:jc w:val="both"/>
      </w:pPr>
    </w:p>
    <w:p w:rsidR="005159E5" w:rsidRDefault="005159E5" w:rsidP="005159E5">
      <w:pPr>
        <w:pStyle w:val="Bezodstpw"/>
        <w:jc w:val="both"/>
      </w:pPr>
      <w:r w:rsidRPr="00F97810">
        <w:rPr>
          <w:b/>
          <w:u w:val="single"/>
        </w:rPr>
        <w:t xml:space="preserve">CRB </w:t>
      </w:r>
      <w:r>
        <w:t xml:space="preserve">– przebicie spadkowej linii trendu </w:t>
      </w:r>
    </w:p>
    <w:p w:rsidR="005159E5" w:rsidRDefault="005159E5" w:rsidP="005159E5">
      <w:pPr>
        <w:pStyle w:val="Bezodstpw"/>
        <w:jc w:val="both"/>
      </w:pPr>
    </w:p>
    <w:p w:rsidR="005159E5" w:rsidRDefault="005159E5" w:rsidP="005159E5">
      <w:pPr>
        <w:pStyle w:val="Bezodstpw"/>
        <w:jc w:val="both"/>
      </w:pPr>
      <w:r>
        <w:rPr>
          <w:noProof/>
        </w:rPr>
        <w:drawing>
          <wp:inline distT="0" distB="0" distL="0" distR="0">
            <wp:extent cx="4800600" cy="2895600"/>
            <wp:effectExtent l="19050" t="0" r="0" b="0"/>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800600" cy="2895600"/>
                    </a:xfrm>
                    <a:prstGeom prst="rect">
                      <a:avLst/>
                    </a:prstGeom>
                    <a:noFill/>
                  </pic:spPr>
                </pic:pic>
              </a:graphicData>
            </a:graphic>
          </wp:inline>
        </w:drawing>
      </w:r>
    </w:p>
    <w:p w:rsidR="005159E5" w:rsidRDefault="005159E5" w:rsidP="005159E5">
      <w:pPr>
        <w:pStyle w:val="Bezodstpw"/>
        <w:jc w:val="both"/>
      </w:pPr>
    </w:p>
    <w:p w:rsidR="005159E5" w:rsidRDefault="005159E5" w:rsidP="005159E5">
      <w:pPr>
        <w:pStyle w:val="Bezodstpw"/>
        <w:jc w:val="both"/>
      </w:pPr>
      <w:r>
        <w:t xml:space="preserve">Gdybym miał w jednym zdaniu odpowiedzieć na pytanie: dlaczego tak się stało odpowiedziałbym, że przyczynił się do tego drastyczny </w:t>
      </w:r>
      <w:r w:rsidRPr="00871336">
        <w:rPr>
          <w:b/>
        </w:rPr>
        <w:t>spadek cen surowców</w:t>
      </w:r>
      <w:r>
        <w:t xml:space="preserve">: szczególnie ropy naftowej, miedzi oraz srebra. </w:t>
      </w:r>
    </w:p>
    <w:p w:rsidR="005159E5" w:rsidRDefault="005159E5" w:rsidP="005159E5">
      <w:pPr>
        <w:pStyle w:val="Bezodstpw"/>
        <w:jc w:val="both"/>
      </w:pPr>
    </w:p>
    <w:p w:rsidR="005159E5" w:rsidRDefault="005159E5" w:rsidP="005159E5">
      <w:pPr>
        <w:pStyle w:val="Bezodstpw"/>
        <w:jc w:val="both"/>
      </w:pPr>
      <w:r>
        <w:t xml:space="preserve">W poprzednich numerach ,,Raportu Tygodniowego” zaprezentowałem tezę, że w przypadku indeksu cen surowców możemy mieć do czynienia z symptomami odwracania trendu spadkowego. </w:t>
      </w:r>
    </w:p>
    <w:p w:rsidR="005159E5" w:rsidRDefault="005159E5" w:rsidP="005159E5">
      <w:pPr>
        <w:pStyle w:val="Bezodstpw"/>
        <w:jc w:val="both"/>
      </w:pPr>
    </w:p>
    <w:p w:rsidR="005159E5" w:rsidRDefault="005159E5" w:rsidP="005159E5">
      <w:pPr>
        <w:pStyle w:val="Bezodstpw"/>
        <w:jc w:val="both"/>
      </w:pPr>
      <w:r>
        <w:t xml:space="preserve">Indeks surowców CRB doszedł bowiem do wzrostowej linii trendu a dodatkowo znajdował się w pobliżu dołka z czerwca 2012 roku. </w:t>
      </w:r>
    </w:p>
    <w:p w:rsidR="005159E5" w:rsidRDefault="005159E5" w:rsidP="005159E5">
      <w:pPr>
        <w:pStyle w:val="Bezodstpw"/>
        <w:jc w:val="both"/>
      </w:pPr>
    </w:p>
    <w:p w:rsidR="005159E5" w:rsidRDefault="005159E5" w:rsidP="005159E5">
      <w:pPr>
        <w:pStyle w:val="Bezodstpw"/>
        <w:jc w:val="both"/>
      </w:pPr>
      <w:r>
        <w:t xml:space="preserve">Tymczasem (!) pod wpływem spadków cen ropy naftowej, miedzi oraz na przykład srebra indeks surowców CRB przebił swój roczny dołek. To niepokojące. </w:t>
      </w:r>
    </w:p>
    <w:p w:rsidR="005159E5" w:rsidRDefault="005159E5" w:rsidP="005159E5">
      <w:pPr>
        <w:pStyle w:val="Bezodstpw"/>
        <w:jc w:val="both"/>
      </w:pPr>
    </w:p>
    <w:p w:rsidR="005159E5" w:rsidRPr="00871336" w:rsidRDefault="005159E5" w:rsidP="005159E5">
      <w:pPr>
        <w:pStyle w:val="Bezodstpw"/>
        <w:jc w:val="both"/>
        <w:rPr>
          <w:b/>
        </w:rPr>
      </w:pPr>
      <w:r>
        <w:t xml:space="preserve">Indeks CRB przebił swoje wsparcie z czerwca 2012 roku i tym samym będzie prawdopodobnie zmierzał w kierunku </w:t>
      </w:r>
      <w:r w:rsidRPr="00871336">
        <w:rPr>
          <w:b/>
        </w:rPr>
        <w:t>wsparcia niższego</w:t>
      </w:r>
      <w:r>
        <w:t xml:space="preserve"> znajdującego się na poziomie </w:t>
      </w:r>
      <w:r w:rsidRPr="00871336">
        <w:rPr>
          <w:b/>
        </w:rPr>
        <w:t xml:space="preserve">248,79 pkt. (dołek z 25 maja 2010 roku). </w:t>
      </w:r>
      <w:r w:rsidRPr="009D6580">
        <w:t xml:space="preserve">To oznacza </w:t>
      </w:r>
      <w:r>
        <w:t xml:space="preserve">krótkoterminowy </w:t>
      </w:r>
      <w:r w:rsidRPr="009D6580">
        <w:t>spadek o 2,2 %.</w:t>
      </w:r>
    </w:p>
    <w:p w:rsidR="005159E5" w:rsidRDefault="005159E5" w:rsidP="005159E5">
      <w:pPr>
        <w:pStyle w:val="Bezodstpw"/>
        <w:jc w:val="both"/>
      </w:pPr>
    </w:p>
    <w:p w:rsidR="005159E5" w:rsidRDefault="005159E5" w:rsidP="005159E5">
      <w:pPr>
        <w:pStyle w:val="Bezodstpw"/>
        <w:jc w:val="both"/>
      </w:pPr>
      <w:r>
        <w:t xml:space="preserve">Doświadczenie pokazuje, że indeks WIG 20 (czy szerzej indeks rynków wschodzących) zachowywał się o wiele lepiej w okresach wzrostów cen miedzi niż spadków cen miedzi. </w:t>
      </w:r>
    </w:p>
    <w:p w:rsidR="005159E5" w:rsidRDefault="005159E5" w:rsidP="005159E5">
      <w:pPr>
        <w:pStyle w:val="Bezodstpw"/>
        <w:jc w:val="both"/>
      </w:pPr>
    </w:p>
    <w:p w:rsidR="005159E5" w:rsidRDefault="005159E5" w:rsidP="005159E5">
      <w:pPr>
        <w:pStyle w:val="Bezodstpw"/>
        <w:jc w:val="both"/>
      </w:pPr>
      <w:r>
        <w:t xml:space="preserve">Tymczasem zarówno w przypadku cen miedzy jak i cen ropy naftowej mamy do czynienia z niewypełnionymi formacjami </w:t>
      </w:r>
      <w:r w:rsidRPr="00871336">
        <w:rPr>
          <w:b/>
          <w:u w:val="single"/>
        </w:rPr>
        <w:t>nietypowego podwójnego szczytu</w:t>
      </w:r>
      <w:r>
        <w:t xml:space="preserve">. </w:t>
      </w:r>
    </w:p>
    <w:p w:rsidR="005159E5" w:rsidRDefault="005159E5" w:rsidP="005159E5">
      <w:pPr>
        <w:pStyle w:val="Bezodstpw"/>
        <w:jc w:val="both"/>
      </w:pPr>
    </w:p>
    <w:p w:rsidR="005159E5" w:rsidRDefault="005159E5" w:rsidP="005159E5">
      <w:pPr>
        <w:pStyle w:val="Bezodstpw"/>
        <w:jc w:val="both"/>
      </w:pPr>
      <w:r>
        <w:t xml:space="preserve">Gdyby formacje te miały się wypełnić oznaczałoby to  średnioterminowy </w:t>
      </w:r>
      <w:r w:rsidRPr="004342B5">
        <w:rPr>
          <w:b/>
        </w:rPr>
        <w:t>spadek</w:t>
      </w:r>
      <w:r>
        <w:t xml:space="preserve"> w przypadku </w:t>
      </w:r>
      <w:r w:rsidRPr="004342B5">
        <w:rPr>
          <w:b/>
          <w:color w:val="FF0000"/>
        </w:rPr>
        <w:t>cen ropy naftowej o jeszcze 19,9 % a w przypadku cen miedzi</w:t>
      </w:r>
      <w:r>
        <w:t xml:space="preserve"> (dokładnie rzecz biorąc kontraktów terminowych) na miedź </w:t>
      </w:r>
      <w:r w:rsidRPr="004342B5">
        <w:rPr>
          <w:b/>
          <w:color w:val="FF0000"/>
        </w:rPr>
        <w:t>o 16,7 %.</w:t>
      </w:r>
      <w:r>
        <w:t xml:space="preserve"> </w:t>
      </w:r>
    </w:p>
    <w:p w:rsidR="005159E5" w:rsidRDefault="005159E5" w:rsidP="005159E5">
      <w:pPr>
        <w:pStyle w:val="Bezodstpw"/>
        <w:jc w:val="both"/>
      </w:pPr>
    </w:p>
    <w:p w:rsidR="005159E5" w:rsidRDefault="005159E5" w:rsidP="005159E5">
      <w:pPr>
        <w:pStyle w:val="Bezodstpw"/>
        <w:jc w:val="both"/>
      </w:pPr>
      <w:r w:rsidRPr="004342B5">
        <w:rPr>
          <w:b/>
        </w:rPr>
        <w:lastRenderedPageBreak/>
        <w:t>Z drugiej strony</w:t>
      </w:r>
      <w:r>
        <w:t xml:space="preserve"> warto pamiętać, że nawet jeżeli te </w:t>
      </w:r>
      <w:r w:rsidRPr="004342B5">
        <w:rPr>
          <w:b/>
        </w:rPr>
        <w:t>spadki</w:t>
      </w:r>
      <w:r>
        <w:t xml:space="preserve"> będą mieć jeszcze miejsce to jest możliwe, że </w:t>
      </w:r>
      <w:r w:rsidRPr="004342B5">
        <w:rPr>
          <w:b/>
        </w:rPr>
        <w:t xml:space="preserve">będą </w:t>
      </w:r>
      <w:r>
        <w:t xml:space="preserve">one </w:t>
      </w:r>
      <w:r w:rsidRPr="004342B5">
        <w:rPr>
          <w:b/>
        </w:rPr>
        <w:t>poprzedzone korekcyjnym wzrostowym odreagowaniem</w:t>
      </w:r>
      <w:r>
        <w:t xml:space="preserve"> wynikających choćby z silnego wyprzedania mającego miejsce na wykresach cen ropy naftowej i kontraktów terminowych na miedź. </w:t>
      </w:r>
    </w:p>
    <w:p w:rsidR="005159E5" w:rsidRDefault="005159E5" w:rsidP="005159E5">
      <w:pPr>
        <w:pStyle w:val="Bezodstpw"/>
        <w:jc w:val="both"/>
      </w:pPr>
    </w:p>
    <w:p w:rsidR="005159E5" w:rsidRDefault="005159E5" w:rsidP="005159E5">
      <w:pPr>
        <w:pStyle w:val="Bezodstpw"/>
        <w:jc w:val="both"/>
      </w:pPr>
      <w:r w:rsidRPr="00D56C1A">
        <w:rPr>
          <w:b/>
          <w:u w:val="single"/>
        </w:rPr>
        <w:t>ROPA NAFTOWA</w:t>
      </w:r>
      <w:r>
        <w:t xml:space="preserve">  - wybicie z bardzo dużej formacji podwójnego szczytu </w:t>
      </w:r>
    </w:p>
    <w:p w:rsidR="005159E5" w:rsidRDefault="005159E5" w:rsidP="005159E5">
      <w:pPr>
        <w:pStyle w:val="Bezodstpw"/>
        <w:jc w:val="both"/>
      </w:pPr>
    </w:p>
    <w:p w:rsidR="005159E5" w:rsidRDefault="005159E5" w:rsidP="005159E5">
      <w:pPr>
        <w:pStyle w:val="Bezodstpw"/>
        <w:jc w:val="both"/>
      </w:pPr>
      <w:r>
        <w:rPr>
          <w:noProof/>
        </w:rPr>
        <w:drawing>
          <wp:inline distT="0" distB="0" distL="0" distR="0">
            <wp:extent cx="4800600" cy="2895600"/>
            <wp:effectExtent l="19050" t="0" r="0" b="0"/>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800600" cy="2895600"/>
                    </a:xfrm>
                    <a:prstGeom prst="rect">
                      <a:avLst/>
                    </a:prstGeom>
                    <a:noFill/>
                  </pic:spPr>
                </pic:pic>
              </a:graphicData>
            </a:graphic>
          </wp:inline>
        </w:drawing>
      </w:r>
    </w:p>
    <w:p w:rsidR="005159E5" w:rsidRDefault="005159E5" w:rsidP="005159E5">
      <w:pPr>
        <w:pStyle w:val="Bezodstpw"/>
        <w:jc w:val="both"/>
      </w:pPr>
    </w:p>
    <w:p w:rsidR="005159E5" w:rsidRDefault="005159E5" w:rsidP="005159E5">
      <w:pPr>
        <w:pStyle w:val="Bezodstpw"/>
        <w:jc w:val="both"/>
      </w:pPr>
      <w:r>
        <w:t xml:space="preserve">Należy też pamiętać, że wciąż zakładam, iż okres pomiędzy końcem października drugiego roku po wyborach w USA a końcem kwietnia roku przedwyborczego jest dla posiadaczy akcji (także polskich akcji) bardzo korzystny. </w:t>
      </w:r>
    </w:p>
    <w:p w:rsidR="005159E5" w:rsidRDefault="005159E5" w:rsidP="005159E5">
      <w:pPr>
        <w:pStyle w:val="Bezodstpw"/>
        <w:jc w:val="both"/>
      </w:pPr>
    </w:p>
    <w:p w:rsidR="005159E5" w:rsidRDefault="005159E5" w:rsidP="005159E5">
      <w:pPr>
        <w:pStyle w:val="Bezodstpw"/>
        <w:jc w:val="both"/>
      </w:pPr>
      <w:r w:rsidRPr="00D56C1A">
        <w:rPr>
          <w:b/>
          <w:u w:val="single"/>
        </w:rPr>
        <w:t xml:space="preserve">MIEDŹ </w:t>
      </w:r>
      <w:r>
        <w:t xml:space="preserve">- wybicie z bardzo dużej formacji podwójnego szczytu </w:t>
      </w:r>
    </w:p>
    <w:p w:rsidR="005159E5" w:rsidRDefault="005159E5" w:rsidP="005159E5">
      <w:pPr>
        <w:pStyle w:val="Bezodstpw"/>
        <w:jc w:val="both"/>
      </w:pPr>
    </w:p>
    <w:p w:rsidR="005159E5" w:rsidRDefault="005159E5" w:rsidP="005159E5">
      <w:pPr>
        <w:pStyle w:val="Bezodstpw"/>
        <w:jc w:val="both"/>
      </w:pPr>
      <w:r>
        <w:rPr>
          <w:noProof/>
        </w:rPr>
        <w:drawing>
          <wp:inline distT="0" distB="0" distL="0" distR="0">
            <wp:extent cx="4800600" cy="2895600"/>
            <wp:effectExtent l="19050" t="0" r="0" b="0"/>
            <wp:docPr id="1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800600" cy="2895600"/>
                    </a:xfrm>
                    <a:prstGeom prst="rect">
                      <a:avLst/>
                    </a:prstGeom>
                    <a:noFill/>
                  </pic:spPr>
                </pic:pic>
              </a:graphicData>
            </a:graphic>
          </wp:inline>
        </w:drawing>
      </w:r>
    </w:p>
    <w:p w:rsidR="005159E5" w:rsidRDefault="005159E5" w:rsidP="005159E5">
      <w:pPr>
        <w:pStyle w:val="Bezodstpw"/>
        <w:jc w:val="both"/>
      </w:pPr>
    </w:p>
    <w:p w:rsidR="005159E5" w:rsidRDefault="005159E5" w:rsidP="005159E5">
      <w:pPr>
        <w:pStyle w:val="Bezodstpw"/>
        <w:jc w:val="both"/>
      </w:pPr>
      <w:r>
        <w:t xml:space="preserve">Ponadto warto pamiętać, że </w:t>
      </w:r>
      <w:r w:rsidRPr="00871336">
        <w:rPr>
          <w:b/>
        </w:rPr>
        <w:t>grudzień na giełdzie warszawskiej jest jednym z najlepszych miesięcy w roku</w:t>
      </w:r>
      <w:r>
        <w:t xml:space="preserve"> podobnie zresztą jak styczeń (i kwiecień) w związku z tym moje nastawienie co do perspektyw sytuacji na polskim rynku pozostaje patrząc nie tylko w perspektywie ponad rocznej (długoterminowej) lecz także średnioterminowej (do końca kwietnia) bardzo optymistyczne. </w:t>
      </w:r>
    </w:p>
    <w:p w:rsidR="005159E5" w:rsidRDefault="005159E5" w:rsidP="005159E5">
      <w:pPr>
        <w:pStyle w:val="Bezodstpw"/>
        <w:jc w:val="both"/>
      </w:pPr>
      <w:r>
        <w:lastRenderedPageBreak/>
        <w:t>Podsumowując tą część rozważań można powiedzieć, że spadki cen surowców z piątku 28 listopada doprowadziły do tego, że indeks cen surowców przebił swe ważne wsparcie z czerwca 2012 roku i tym samym będzie zmierzał w kierunku wsparcia z 25 maja 2010 roku znajdującego się na poziomie o 2,2 % niższym niż poziom obecny.</w:t>
      </w:r>
    </w:p>
    <w:p w:rsidR="005159E5" w:rsidRDefault="005159E5" w:rsidP="005159E5">
      <w:pPr>
        <w:pStyle w:val="Bezodstpw"/>
        <w:jc w:val="both"/>
      </w:pPr>
    </w:p>
    <w:p w:rsidR="005159E5" w:rsidRDefault="005159E5" w:rsidP="005159E5">
      <w:pPr>
        <w:pStyle w:val="Bezodstpw"/>
        <w:jc w:val="both"/>
      </w:pPr>
      <w:r>
        <w:t xml:space="preserve">Czy jest w tym coś optymistycznego z punktu widzenia polskiego rynku akcji ? Tak. Pomimo drastycznych spadków cen miedzi i ropy naftowej odnotowanych w całym listopadzie skala spadków indeksu WIG 20 nie była znaczna. Wydaje się więc, że gdyby spadki indeksu CRB były kontynuowane to również WIG 20 powinien wykazać się pewną odpornością zwłaszcza, że jak wskazałem grudzień jest jednym z najlepszych miesięcy w roku dla posiadaczy polskich akcji. </w:t>
      </w:r>
    </w:p>
    <w:p w:rsidR="005159E5" w:rsidRDefault="005159E5" w:rsidP="005159E5">
      <w:pPr>
        <w:pStyle w:val="Bezodstpw"/>
        <w:jc w:val="both"/>
      </w:pPr>
    </w:p>
    <w:p w:rsidR="005159E5" w:rsidRDefault="005159E5" w:rsidP="005159E5">
      <w:pPr>
        <w:pStyle w:val="Bezodstpw"/>
        <w:pBdr>
          <w:top w:val="single" w:sz="4" w:space="1" w:color="auto"/>
          <w:left w:val="single" w:sz="4" w:space="4" w:color="auto"/>
          <w:bottom w:val="single" w:sz="4" w:space="1" w:color="auto"/>
          <w:right w:val="single" w:sz="4" w:space="4" w:color="auto"/>
        </w:pBdr>
        <w:jc w:val="center"/>
      </w:pPr>
      <w:r>
        <w:t>Akcje deflacyjne a akcje inflacyjne na GPW w Warszawie w dłuższej perspektywie</w:t>
      </w:r>
    </w:p>
    <w:p w:rsidR="005159E5" w:rsidRDefault="005159E5" w:rsidP="005159E5">
      <w:pPr>
        <w:pStyle w:val="Bezodstpw"/>
        <w:jc w:val="both"/>
      </w:pPr>
    </w:p>
    <w:p w:rsidR="005159E5" w:rsidRDefault="005159E5" w:rsidP="005159E5">
      <w:pPr>
        <w:pStyle w:val="Bezodstpw"/>
        <w:jc w:val="both"/>
      </w:pPr>
      <w:r w:rsidRPr="00871336">
        <w:rPr>
          <w:b/>
        </w:rPr>
        <w:t>Akcjami inflacyjnymi</w:t>
      </w:r>
      <w:r>
        <w:t xml:space="preserve">  nazywamy z kolei akcje tych spółek, które zachowują się lepiej w okresie wzrostu presji inflacyjnej. Gdy rośnie inflacja dobrze zachowują się ceny spółek, na których zyski pozytywnie wpływa wzrost cen surowców. </w:t>
      </w:r>
    </w:p>
    <w:p w:rsidR="005159E5" w:rsidRDefault="005159E5" w:rsidP="005159E5">
      <w:pPr>
        <w:pStyle w:val="Bezodstpw"/>
        <w:jc w:val="both"/>
      </w:pPr>
    </w:p>
    <w:p w:rsidR="005159E5" w:rsidRDefault="005159E5" w:rsidP="005159E5">
      <w:pPr>
        <w:pStyle w:val="Bezodstpw"/>
        <w:jc w:val="both"/>
      </w:pPr>
      <w:r>
        <w:t xml:space="preserve">Z kolei </w:t>
      </w:r>
      <w:r w:rsidRPr="00871336">
        <w:rPr>
          <w:b/>
        </w:rPr>
        <w:t>akcjami deflacyjnymi</w:t>
      </w:r>
      <w:r>
        <w:t xml:space="preserve"> nazywamy akcje tych spółek, które zachowują się lepiej w okresie spadku presji inflacyjnej. Gdy spada inflacja, spadają ceny surowców dobrze zachowują się akcje spółek wrażliwych na zmiany stóp procentowych. </w:t>
      </w:r>
    </w:p>
    <w:p w:rsidR="005159E5" w:rsidRDefault="005159E5" w:rsidP="005159E5">
      <w:pPr>
        <w:pStyle w:val="Bezodstpw"/>
        <w:jc w:val="both"/>
      </w:pPr>
    </w:p>
    <w:p w:rsidR="005159E5" w:rsidRDefault="005159E5" w:rsidP="005159E5">
      <w:pPr>
        <w:pStyle w:val="Bezodstpw"/>
        <w:jc w:val="both"/>
      </w:pPr>
      <w:r>
        <w:t xml:space="preserve">Akcjami inflacyjnymi wydają się być akcje spółek surowcowych a akcjami deflacyjnymi akcje banków, aczkolwiek wymaga to dalszych badań. </w:t>
      </w:r>
    </w:p>
    <w:p w:rsidR="005159E5" w:rsidRDefault="005159E5" w:rsidP="005159E5">
      <w:pPr>
        <w:pStyle w:val="Bezodstpw"/>
        <w:jc w:val="both"/>
      </w:pPr>
    </w:p>
    <w:p w:rsidR="005159E5" w:rsidRDefault="005159E5" w:rsidP="005159E5">
      <w:pPr>
        <w:pStyle w:val="Bezodstpw"/>
        <w:jc w:val="both"/>
      </w:pPr>
      <w:r>
        <w:t xml:space="preserve">Przyznam, że biorąc to pod uwagę moją uwagę zwrócił uwagę wykres siły względnej PKO BP / KGHM. Doszło na nim do wybicia z bardzo dużego podwójnego dna, później miała miejsce korekta spadkowa, która prawdopodobnie dobiega końca. </w:t>
      </w:r>
    </w:p>
    <w:p w:rsidR="005159E5" w:rsidRDefault="005159E5" w:rsidP="005159E5">
      <w:pPr>
        <w:pStyle w:val="Bezodstpw"/>
        <w:jc w:val="both"/>
      </w:pPr>
    </w:p>
    <w:p w:rsidR="005159E5" w:rsidRDefault="005159E5" w:rsidP="005159E5">
      <w:pPr>
        <w:pStyle w:val="Bezodstpw"/>
        <w:jc w:val="both"/>
      </w:pPr>
      <w:r>
        <w:t xml:space="preserve">Na to, że właśnie dobiega ona końca wskazuje to, że oscylator stochastyczny na wykresie tworzonym w oparciu o dane miesięczne znalazł się w strefie wyprzedania. </w:t>
      </w:r>
    </w:p>
    <w:p w:rsidR="005159E5" w:rsidRDefault="005159E5" w:rsidP="005159E5">
      <w:pPr>
        <w:pStyle w:val="Bezodstpw"/>
        <w:jc w:val="both"/>
      </w:pPr>
    </w:p>
    <w:p w:rsidR="005159E5" w:rsidRDefault="005159E5" w:rsidP="005159E5">
      <w:pPr>
        <w:pStyle w:val="Bezodstpw"/>
        <w:jc w:val="both"/>
      </w:pPr>
      <w:r w:rsidRPr="00FB25B7">
        <w:rPr>
          <w:b/>
          <w:u w:val="single"/>
        </w:rPr>
        <w:t>PKO BP / KGHM</w:t>
      </w:r>
      <w:r>
        <w:t xml:space="preserve"> - wybicie z bardzo dużej formacji podwójnego szczytu</w:t>
      </w:r>
    </w:p>
    <w:p w:rsidR="005159E5" w:rsidRDefault="005159E5" w:rsidP="005159E5">
      <w:pPr>
        <w:pStyle w:val="Bezodstpw"/>
        <w:jc w:val="both"/>
      </w:pPr>
    </w:p>
    <w:p w:rsidR="005159E5" w:rsidRDefault="005159E5" w:rsidP="005159E5">
      <w:pPr>
        <w:pStyle w:val="Bezodstpw"/>
        <w:jc w:val="both"/>
      </w:pPr>
      <w:r>
        <w:rPr>
          <w:noProof/>
        </w:rPr>
        <w:drawing>
          <wp:inline distT="0" distB="0" distL="0" distR="0">
            <wp:extent cx="4810125" cy="2895600"/>
            <wp:effectExtent l="19050" t="0" r="9525" b="0"/>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810125" cy="2895600"/>
                    </a:xfrm>
                    <a:prstGeom prst="rect">
                      <a:avLst/>
                    </a:prstGeom>
                    <a:noFill/>
                  </pic:spPr>
                </pic:pic>
              </a:graphicData>
            </a:graphic>
          </wp:inline>
        </w:drawing>
      </w:r>
    </w:p>
    <w:p w:rsidR="005159E5" w:rsidRDefault="005159E5" w:rsidP="005159E5">
      <w:pPr>
        <w:pStyle w:val="Bezodstpw"/>
        <w:jc w:val="both"/>
      </w:pPr>
    </w:p>
    <w:p w:rsidR="005159E5" w:rsidRDefault="005159E5" w:rsidP="005159E5">
      <w:pPr>
        <w:pStyle w:val="Bezodstpw"/>
        <w:jc w:val="both"/>
      </w:pPr>
      <w:r>
        <w:lastRenderedPageBreak/>
        <w:t xml:space="preserve">Stwarza to szansę na bardzo duży wzrost siły  względnej PKO BP / KGHM w perspektywie najbliższego powiedzmy roku, co można wiązać choćby z tym, że na wykresie cen kontraktów na miedź nie wypełniła się jeszcze duża formacja podwójnego szczytu. Nie będę ukrywał, że także i wnioski płynące (moim zdaniem) z powyższego wykresu skłoniły mnie do umieszczenia akcji PKO BP w rubryce ,,Poczekalnia”. </w:t>
      </w:r>
    </w:p>
    <w:p w:rsidR="005159E5" w:rsidRDefault="00751D00" w:rsidP="005159E5">
      <w:pPr>
        <w:pStyle w:val="Bezodstpw"/>
        <w:jc w:val="both"/>
      </w:pPr>
      <w:hyperlink r:id="rId14" w:history="1">
        <w:r w:rsidR="005159E5" w:rsidRPr="00CF25D0">
          <w:rPr>
            <w:rStyle w:val="Hipercze"/>
          </w:rPr>
          <w:t>http://analizy-rynkowe.pl/poczekalnia-pko-bank-polski/</w:t>
        </w:r>
      </w:hyperlink>
    </w:p>
    <w:p w:rsidR="005159E5" w:rsidRDefault="005159E5" w:rsidP="005159E5">
      <w:pPr>
        <w:pStyle w:val="Bezodstpw"/>
        <w:jc w:val="both"/>
      </w:pPr>
    </w:p>
    <w:p w:rsidR="005159E5" w:rsidRDefault="005159E5" w:rsidP="005159E5">
      <w:pPr>
        <w:pStyle w:val="Bezodstpw"/>
        <w:pBdr>
          <w:top w:val="single" w:sz="4" w:space="1" w:color="auto"/>
          <w:left w:val="single" w:sz="4" w:space="4" w:color="auto"/>
          <w:bottom w:val="single" w:sz="4" w:space="1" w:color="auto"/>
          <w:right w:val="single" w:sz="4" w:space="4" w:color="auto"/>
        </w:pBdr>
        <w:jc w:val="center"/>
      </w:pPr>
      <w:r>
        <w:t>Sezonowość na GPW – WIG 20</w:t>
      </w:r>
    </w:p>
    <w:p w:rsidR="005159E5" w:rsidRDefault="005159E5" w:rsidP="005159E5">
      <w:pPr>
        <w:pStyle w:val="Bezodstpw"/>
        <w:jc w:val="both"/>
      </w:pPr>
      <w:r>
        <w:t xml:space="preserve">Rozpoczynający się nowy miesiąc (grudzień) jest jednym z najlepszych miesięcy w roku dla posiadaczy akcji. Poniższa tabela przedstawia stopę zwrotu z indeksu giełdowego WIG 20 w latach 1995 – 2013 w poszczególnych miesiącach </w:t>
      </w:r>
    </w:p>
    <w:tbl>
      <w:tblPr>
        <w:tblStyle w:val="Tabela-Siatka"/>
        <w:tblW w:w="0" w:type="auto"/>
        <w:tblLook w:val="04A0"/>
      </w:tblPr>
      <w:tblGrid>
        <w:gridCol w:w="4606"/>
        <w:gridCol w:w="4606"/>
      </w:tblGrid>
      <w:tr w:rsidR="005159E5" w:rsidTr="0021637A">
        <w:tc>
          <w:tcPr>
            <w:tcW w:w="4606" w:type="dxa"/>
          </w:tcPr>
          <w:p w:rsidR="005159E5" w:rsidRDefault="005159E5" w:rsidP="0021637A">
            <w:pPr>
              <w:pStyle w:val="Bezodstpw"/>
              <w:jc w:val="center"/>
            </w:pPr>
            <w:r>
              <w:t>Miesiąc</w:t>
            </w:r>
          </w:p>
        </w:tc>
        <w:tc>
          <w:tcPr>
            <w:tcW w:w="4606" w:type="dxa"/>
          </w:tcPr>
          <w:p w:rsidR="005159E5" w:rsidRDefault="005159E5" w:rsidP="0021637A">
            <w:pPr>
              <w:pStyle w:val="Bezodstpw"/>
              <w:jc w:val="center"/>
            </w:pPr>
            <w:r>
              <w:t>Stopa zwrotu z indeksu WIG 20</w:t>
            </w:r>
          </w:p>
        </w:tc>
      </w:tr>
      <w:tr w:rsidR="005159E5" w:rsidTr="0021637A">
        <w:tc>
          <w:tcPr>
            <w:tcW w:w="4606" w:type="dxa"/>
          </w:tcPr>
          <w:p w:rsidR="005159E5" w:rsidRPr="005819A2" w:rsidRDefault="005159E5" w:rsidP="0021637A">
            <w:pPr>
              <w:jc w:val="center"/>
            </w:pPr>
            <w:r w:rsidRPr="005819A2">
              <w:t>Styczeń</w:t>
            </w:r>
          </w:p>
        </w:tc>
        <w:tc>
          <w:tcPr>
            <w:tcW w:w="4606" w:type="dxa"/>
          </w:tcPr>
          <w:p w:rsidR="005159E5" w:rsidRPr="009C6B4A" w:rsidRDefault="005159E5" w:rsidP="0021637A">
            <w:pPr>
              <w:jc w:val="center"/>
            </w:pPr>
            <w:r>
              <w:t xml:space="preserve">  </w:t>
            </w:r>
            <w:r w:rsidRPr="009C6B4A">
              <w:t>2,</w:t>
            </w:r>
            <w:r>
              <w:t>9</w:t>
            </w:r>
          </w:p>
        </w:tc>
      </w:tr>
      <w:tr w:rsidR="005159E5" w:rsidTr="0021637A">
        <w:tc>
          <w:tcPr>
            <w:tcW w:w="4606" w:type="dxa"/>
          </w:tcPr>
          <w:p w:rsidR="005159E5" w:rsidRPr="005819A2" w:rsidRDefault="005159E5" w:rsidP="0021637A">
            <w:pPr>
              <w:jc w:val="center"/>
            </w:pPr>
            <w:r w:rsidRPr="005819A2">
              <w:t>Luty</w:t>
            </w:r>
          </w:p>
        </w:tc>
        <w:tc>
          <w:tcPr>
            <w:tcW w:w="4606" w:type="dxa"/>
          </w:tcPr>
          <w:p w:rsidR="005159E5" w:rsidRPr="009C6B4A" w:rsidRDefault="005159E5" w:rsidP="0021637A">
            <w:pPr>
              <w:jc w:val="center"/>
            </w:pPr>
            <w:r>
              <w:t xml:space="preserve">  </w:t>
            </w:r>
            <w:r w:rsidRPr="009C6B4A">
              <w:t>1,</w:t>
            </w:r>
            <w:r>
              <w:t>1</w:t>
            </w:r>
          </w:p>
        </w:tc>
      </w:tr>
      <w:tr w:rsidR="005159E5" w:rsidTr="0021637A">
        <w:tc>
          <w:tcPr>
            <w:tcW w:w="4606" w:type="dxa"/>
          </w:tcPr>
          <w:p w:rsidR="005159E5" w:rsidRPr="005819A2" w:rsidRDefault="005159E5" w:rsidP="0021637A">
            <w:pPr>
              <w:jc w:val="center"/>
            </w:pPr>
            <w:r w:rsidRPr="005819A2">
              <w:t>Marzec</w:t>
            </w:r>
          </w:p>
        </w:tc>
        <w:tc>
          <w:tcPr>
            <w:tcW w:w="4606" w:type="dxa"/>
          </w:tcPr>
          <w:p w:rsidR="005159E5" w:rsidRPr="009C6B4A" w:rsidRDefault="005159E5" w:rsidP="0021637A">
            <w:pPr>
              <w:jc w:val="center"/>
            </w:pPr>
            <w:r>
              <w:t xml:space="preserve">  </w:t>
            </w:r>
            <w:r w:rsidRPr="009C6B4A">
              <w:t>0,8</w:t>
            </w:r>
          </w:p>
        </w:tc>
      </w:tr>
      <w:tr w:rsidR="005159E5" w:rsidTr="0021637A">
        <w:tc>
          <w:tcPr>
            <w:tcW w:w="4606" w:type="dxa"/>
          </w:tcPr>
          <w:p w:rsidR="005159E5" w:rsidRPr="005819A2" w:rsidRDefault="005159E5" w:rsidP="0021637A">
            <w:pPr>
              <w:jc w:val="center"/>
            </w:pPr>
            <w:r w:rsidRPr="005819A2">
              <w:t>Kwiecień</w:t>
            </w:r>
          </w:p>
        </w:tc>
        <w:tc>
          <w:tcPr>
            <w:tcW w:w="4606" w:type="dxa"/>
          </w:tcPr>
          <w:p w:rsidR="005159E5" w:rsidRPr="009C6B4A" w:rsidRDefault="005159E5" w:rsidP="0021637A">
            <w:pPr>
              <w:jc w:val="center"/>
            </w:pPr>
            <w:r>
              <w:t xml:space="preserve">  </w:t>
            </w:r>
            <w:r w:rsidRPr="009C6B4A">
              <w:t>4,</w:t>
            </w:r>
            <w:r>
              <w:t>2</w:t>
            </w:r>
          </w:p>
        </w:tc>
      </w:tr>
      <w:tr w:rsidR="005159E5" w:rsidTr="0021637A">
        <w:tc>
          <w:tcPr>
            <w:tcW w:w="4606" w:type="dxa"/>
          </w:tcPr>
          <w:p w:rsidR="005159E5" w:rsidRPr="005819A2" w:rsidRDefault="005159E5" w:rsidP="0021637A">
            <w:pPr>
              <w:jc w:val="center"/>
            </w:pPr>
            <w:r w:rsidRPr="005819A2">
              <w:t>Maj</w:t>
            </w:r>
          </w:p>
        </w:tc>
        <w:tc>
          <w:tcPr>
            <w:tcW w:w="4606" w:type="dxa"/>
          </w:tcPr>
          <w:p w:rsidR="005159E5" w:rsidRPr="009C6B4A" w:rsidRDefault="005159E5" w:rsidP="0021637A">
            <w:pPr>
              <w:jc w:val="center"/>
            </w:pPr>
            <w:r w:rsidRPr="009C6B4A">
              <w:t>-1,6</w:t>
            </w:r>
          </w:p>
        </w:tc>
      </w:tr>
      <w:tr w:rsidR="005159E5" w:rsidTr="0021637A">
        <w:tc>
          <w:tcPr>
            <w:tcW w:w="4606" w:type="dxa"/>
          </w:tcPr>
          <w:p w:rsidR="005159E5" w:rsidRPr="005819A2" w:rsidRDefault="005159E5" w:rsidP="0021637A">
            <w:pPr>
              <w:jc w:val="center"/>
            </w:pPr>
            <w:r w:rsidRPr="005819A2">
              <w:t>Czerwiec</w:t>
            </w:r>
          </w:p>
        </w:tc>
        <w:tc>
          <w:tcPr>
            <w:tcW w:w="4606" w:type="dxa"/>
          </w:tcPr>
          <w:p w:rsidR="005159E5" w:rsidRPr="009C6B4A" w:rsidRDefault="005159E5" w:rsidP="0021637A">
            <w:pPr>
              <w:jc w:val="center"/>
            </w:pPr>
            <w:r>
              <w:t xml:space="preserve">  </w:t>
            </w:r>
            <w:r w:rsidRPr="009C6B4A">
              <w:t>0,1</w:t>
            </w:r>
          </w:p>
        </w:tc>
      </w:tr>
      <w:tr w:rsidR="005159E5" w:rsidTr="0021637A">
        <w:tc>
          <w:tcPr>
            <w:tcW w:w="4606" w:type="dxa"/>
          </w:tcPr>
          <w:p w:rsidR="005159E5" w:rsidRPr="005819A2" w:rsidRDefault="005159E5" w:rsidP="0021637A">
            <w:pPr>
              <w:jc w:val="center"/>
            </w:pPr>
            <w:r w:rsidRPr="005819A2">
              <w:t>Lipiec</w:t>
            </w:r>
          </w:p>
        </w:tc>
        <w:tc>
          <w:tcPr>
            <w:tcW w:w="4606" w:type="dxa"/>
          </w:tcPr>
          <w:p w:rsidR="005159E5" w:rsidRPr="009C6B4A" w:rsidRDefault="005159E5" w:rsidP="0021637A">
            <w:pPr>
              <w:jc w:val="center"/>
            </w:pPr>
            <w:r>
              <w:t xml:space="preserve">  </w:t>
            </w:r>
            <w:r w:rsidRPr="009C6B4A">
              <w:t>1,2</w:t>
            </w:r>
          </w:p>
        </w:tc>
      </w:tr>
      <w:tr w:rsidR="005159E5" w:rsidTr="0021637A">
        <w:tc>
          <w:tcPr>
            <w:tcW w:w="4606" w:type="dxa"/>
          </w:tcPr>
          <w:p w:rsidR="005159E5" w:rsidRPr="005819A2" w:rsidRDefault="005159E5" w:rsidP="0021637A">
            <w:pPr>
              <w:jc w:val="center"/>
            </w:pPr>
            <w:r w:rsidRPr="005819A2">
              <w:t>Sierpień</w:t>
            </w:r>
          </w:p>
        </w:tc>
        <w:tc>
          <w:tcPr>
            <w:tcW w:w="4606" w:type="dxa"/>
          </w:tcPr>
          <w:p w:rsidR="005159E5" w:rsidRPr="009C6B4A" w:rsidRDefault="005159E5" w:rsidP="0021637A">
            <w:pPr>
              <w:jc w:val="center"/>
            </w:pPr>
            <w:r w:rsidRPr="009C6B4A">
              <w:t>-0,2</w:t>
            </w:r>
          </w:p>
        </w:tc>
      </w:tr>
      <w:tr w:rsidR="005159E5" w:rsidTr="0021637A">
        <w:tc>
          <w:tcPr>
            <w:tcW w:w="4606" w:type="dxa"/>
          </w:tcPr>
          <w:p w:rsidR="005159E5" w:rsidRPr="005819A2" w:rsidRDefault="005159E5" w:rsidP="0021637A">
            <w:pPr>
              <w:jc w:val="center"/>
            </w:pPr>
            <w:r w:rsidRPr="005819A2">
              <w:t>Wrzesień</w:t>
            </w:r>
          </w:p>
        </w:tc>
        <w:tc>
          <w:tcPr>
            <w:tcW w:w="4606" w:type="dxa"/>
          </w:tcPr>
          <w:p w:rsidR="005159E5" w:rsidRPr="009C6B4A" w:rsidRDefault="005159E5" w:rsidP="0021637A">
            <w:pPr>
              <w:jc w:val="center"/>
            </w:pPr>
            <w:r w:rsidRPr="009C6B4A">
              <w:t>-1,</w:t>
            </w:r>
            <w:r>
              <w:t>6</w:t>
            </w:r>
          </w:p>
        </w:tc>
      </w:tr>
      <w:tr w:rsidR="005159E5" w:rsidTr="0021637A">
        <w:tc>
          <w:tcPr>
            <w:tcW w:w="4606" w:type="dxa"/>
          </w:tcPr>
          <w:p w:rsidR="005159E5" w:rsidRPr="005819A2" w:rsidRDefault="005159E5" w:rsidP="0021637A">
            <w:pPr>
              <w:jc w:val="center"/>
            </w:pPr>
            <w:r w:rsidRPr="005819A2">
              <w:t>Październik</w:t>
            </w:r>
          </w:p>
        </w:tc>
        <w:tc>
          <w:tcPr>
            <w:tcW w:w="4606" w:type="dxa"/>
          </w:tcPr>
          <w:p w:rsidR="005159E5" w:rsidRPr="009C6B4A" w:rsidRDefault="005159E5" w:rsidP="0021637A">
            <w:pPr>
              <w:jc w:val="center"/>
            </w:pPr>
            <w:r>
              <w:t xml:space="preserve">  </w:t>
            </w:r>
            <w:r w:rsidRPr="009C6B4A">
              <w:t>0,</w:t>
            </w:r>
            <w:r>
              <w:t>7</w:t>
            </w:r>
          </w:p>
        </w:tc>
      </w:tr>
      <w:tr w:rsidR="005159E5" w:rsidTr="0021637A">
        <w:tc>
          <w:tcPr>
            <w:tcW w:w="4606" w:type="dxa"/>
          </w:tcPr>
          <w:p w:rsidR="005159E5" w:rsidRPr="005819A2" w:rsidRDefault="005159E5" w:rsidP="0021637A">
            <w:pPr>
              <w:jc w:val="center"/>
            </w:pPr>
            <w:r w:rsidRPr="005819A2">
              <w:t>Listopad</w:t>
            </w:r>
          </w:p>
        </w:tc>
        <w:tc>
          <w:tcPr>
            <w:tcW w:w="4606" w:type="dxa"/>
          </w:tcPr>
          <w:p w:rsidR="005159E5" w:rsidRPr="009C6B4A" w:rsidRDefault="005159E5" w:rsidP="0021637A">
            <w:pPr>
              <w:jc w:val="center"/>
            </w:pPr>
            <w:r>
              <w:t xml:space="preserve">  </w:t>
            </w:r>
            <w:r w:rsidRPr="009C6B4A">
              <w:t>0,2</w:t>
            </w:r>
          </w:p>
        </w:tc>
      </w:tr>
      <w:tr w:rsidR="005159E5" w:rsidTr="0021637A">
        <w:tc>
          <w:tcPr>
            <w:tcW w:w="4606" w:type="dxa"/>
          </w:tcPr>
          <w:p w:rsidR="005159E5" w:rsidRDefault="005159E5" w:rsidP="0021637A">
            <w:pPr>
              <w:jc w:val="center"/>
            </w:pPr>
            <w:r w:rsidRPr="005819A2">
              <w:t>Grudzień</w:t>
            </w:r>
          </w:p>
        </w:tc>
        <w:tc>
          <w:tcPr>
            <w:tcW w:w="4606" w:type="dxa"/>
          </w:tcPr>
          <w:p w:rsidR="005159E5" w:rsidRDefault="005159E5" w:rsidP="0021637A">
            <w:pPr>
              <w:jc w:val="center"/>
            </w:pPr>
            <w:r>
              <w:t xml:space="preserve">  </w:t>
            </w:r>
            <w:r w:rsidRPr="009C6B4A">
              <w:t>2,8</w:t>
            </w:r>
          </w:p>
        </w:tc>
      </w:tr>
    </w:tbl>
    <w:p w:rsidR="005159E5" w:rsidRDefault="005159E5" w:rsidP="005159E5">
      <w:pPr>
        <w:pStyle w:val="Bezodstpw"/>
        <w:jc w:val="both"/>
      </w:pPr>
    </w:p>
    <w:p w:rsidR="005159E5" w:rsidRDefault="005159E5" w:rsidP="005159E5">
      <w:pPr>
        <w:pStyle w:val="Bezodstpw"/>
        <w:pBdr>
          <w:top w:val="single" w:sz="4" w:space="1" w:color="auto"/>
          <w:left w:val="single" w:sz="4" w:space="4" w:color="auto"/>
          <w:bottom w:val="single" w:sz="4" w:space="1" w:color="auto"/>
          <w:right w:val="single" w:sz="4" w:space="4" w:color="auto"/>
        </w:pBdr>
        <w:jc w:val="center"/>
      </w:pPr>
      <w:r>
        <w:t xml:space="preserve">Wykres do przemyślenia – refleksje </w:t>
      </w:r>
    </w:p>
    <w:p w:rsidR="005159E5" w:rsidRDefault="005159E5" w:rsidP="005159E5">
      <w:pPr>
        <w:pStyle w:val="Bezodstpw"/>
        <w:jc w:val="both"/>
      </w:pPr>
    </w:p>
    <w:p w:rsidR="005159E5" w:rsidRDefault="005159E5" w:rsidP="005159E5">
      <w:pPr>
        <w:pStyle w:val="Bezodstpw"/>
        <w:jc w:val="both"/>
      </w:pPr>
      <w:r>
        <w:t xml:space="preserve">W pierwszym numerze ,,Raportu Tygodniowego” z 8 września 2014 roku pojawiły się wykresy akcji czterech spółek. Były to wykresy akcji następujących spółek: </w:t>
      </w:r>
    </w:p>
    <w:p w:rsidR="005159E5" w:rsidRDefault="005159E5" w:rsidP="005159E5">
      <w:pPr>
        <w:pStyle w:val="Bezodstpw"/>
        <w:jc w:val="both"/>
      </w:pPr>
    </w:p>
    <w:p w:rsidR="005159E5" w:rsidRDefault="005159E5" w:rsidP="005159E5">
      <w:pPr>
        <w:pStyle w:val="Bezodstpw"/>
        <w:numPr>
          <w:ilvl w:val="0"/>
          <w:numId w:val="1"/>
        </w:numPr>
        <w:jc w:val="both"/>
      </w:pPr>
      <w:proofErr w:type="spellStart"/>
      <w:r>
        <w:t>Immobile</w:t>
      </w:r>
      <w:proofErr w:type="spellEnd"/>
    </w:p>
    <w:p w:rsidR="005159E5" w:rsidRDefault="005159E5" w:rsidP="005159E5">
      <w:pPr>
        <w:pStyle w:val="Bezodstpw"/>
        <w:numPr>
          <w:ilvl w:val="0"/>
          <w:numId w:val="1"/>
        </w:numPr>
        <w:jc w:val="both"/>
      </w:pPr>
      <w:r>
        <w:t>Lena</w:t>
      </w:r>
    </w:p>
    <w:p w:rsidR="005159E5" w:rsidRDefault="005159E5" w:rsidP="005159E5">
      <w:pPr>
        <w:pStyle w:val="Bezodstpw"/>
        <w:numPr>
          <w:ilvl w:val="0"/>
          <w:numId w:val="1"/>
        </w:numPr>
        <w:jc w:val="both"/>
      </w:pPr>
      <w:proofErr w:type="spellStart"/>
      <w:r>
        <w:t>Netmedia</w:t>
      </w:r>
      <w:proofErr w:type="spellEnd"/>
      <w:r>
        <w:t xml:space="preserve"> </w:t>
      </w:r>
    </w:p>
    <w:p w:rsidR="005159E5" w:rsidRDefault="005159E5" w:rsidP="005159E5">
      <w:pPr>
        <w:pStyle w:val="Bezodstpw"/>
        <w:numPr>
          <w:ilvl w:val="0"/>
          <w:numId w:val="1"/>
        </w:numPr>
        <w:jc w:val="both"/>
      </w:pPr>
      <w:r>
        <w:t>Rafako</w:t>
      </w:r>
    </w:p>
    <w:p w:rsidR="005159E5" w:rsidRDefault="005159E5" w:rsidP="005159E5">
      <w:pPr>
        <w:pStyle w:val="Bezodstpw"/>
        <w:jc w:val="both"/>
      </w:pPr>
    </w:p>
    <w:p w:rsidR="005159E5" w:rsidRDefault="005159E5" w:rsidP="005159E5">
      <w:pPr>
        <w:pStyle w:val="Bezodstpw"/>
        <w:jc w:val="both"/>
      </w:pPr>
      <w:r>
        <w:t xml:space="preserve">Kryterium pojawienia się wykresu akcji danej spółki w tej rubryce jest </w:t>
      </w:r>
      <w:r w:rsidRPr="0053119C">
        <w:rPr>
          <w:b/>
        </w:rPr>
        <w:t>wybicie z formacji podwójnego dna</w:t>
      </w:r>
      <w:r>
        <w:t xml:space="preserve">. </w:t>
      </w:r>
    </w:p>
    <w:p w:rsidR="005159E5" w:rsidRDefault="005159E5" w:rsidP="005159E5">
      <w:pPr>
        <w:pStyle w:val="Bezodstpw"/>
        <w:jc w:val="both"/>
      </w:pPr>
    </w:p>
    <w:p w:rsidR="005159E5" w:rsidRDefault="005159E5" w:rsidP="005159E5">
      <w:pPr>
        <w:pStyle w:val="Bezodstpw"/>
        <w:jc w:val="both"/>
      </w:pPr>
      <w:r>
        <w:t xml:space="preserve">Tabela: Procentowa zmiana cen akcji czterech spółek, których akcje zostały wymienione w pierwszym numerze ,,Raportu Tygodniowego” z 8 września 2014 roku w rubryce ,,Wykres do przemyślenia” w okresie od 5 września do 28 listopada 2014 roku oraz procentowa zmiana indeksu WIG 20 w tym okresie. </w:t>
      </w:r>
    </w:p>
    <w:tbl>
      <w:tblPr>
        <w:tblStyle w:val="Tabela-Siatka"/>
        <w:tblW w:w="0" w:type="auto"/>
        <w:tblLook w:val="04A0"/>
      </w:tblPr>
      <w:tblGrid>
        <w:gridCol w:w="3402"/>
        <w:gridCol w:w="2302"/>
        <w:gridCol w:w="2303"/>
        <w:gridCol w:w="1134"/>
      </w:tblGrid>
      <w:tr w:rsidR="005159E5" w:rsidTr="0021637A">
        <w:tc>
          <w:tcPr>
            <w:tcW w:w="3402" w:type="dxa"/>
          </w:tcPr>
          <w:p w:rsidR="005159E5" w:rsidRDefault="005159E5" w:rsidP="0021637A">
            <w:pPr>
              <w:pStyle w:val="Bezodstpw"/>
              <w:jc w:val="center"/>
            </w:pPr>
            <w:r>
              <w:t>Instrument finansowy</w:t>
            </w:r>
          </w:p>
        </w:tc>
        <w:tc>
          <w:tcPr>
            <w:tcW w:w="2302" w:type="dxa"/>
          </w:tcPr>
          <w:p w:rsidR="005159E5" w:rsidRDefault="005159E5" w:rsidP="0021637A">
            <w:pPr>
              <w:pStyle w:val="Bezodstpw"/>
              <w:jc w:val="center"/>
            </w:pPr>
            <w:r>
              <w:t>Poziom – 05.09.2014</w:t>
            </w:r>
          </w:p>
        </w:tc>
        <w:tc>
          <w:tcPr>
            <w:tcW w:w="2303" w:type="dxa"/>
          </w:tcPr>
          <w:p w:rsidR="005159E5" w:rsidRDefault="005159E5" w:rsidP="0021637A">
            <w:pPr>
              <w:pStyle w:val="Bezodstpw"/>
              <w:jc w:val="center"/>
            </w:pPr>
            <w:r>
              <w:t>Poziom – 28.11.2014</w:t>
            </w:r>
          </w:p>
        </w:tc>
        <w:tc>
          <w:tcPr>
            <w:tcW w:w="1134" w:type="dxa"/>
          </w:tcPr>
          <w:p w:rsidR="005159E5" w:rsidRDefault="005159E5" w:rsidP="0021637A">
            <w:pPr>
              <w:pStyle w:val="Bezodstpw"/>
              <w:jc w:val="center"/>
            </w:pPr>
            <w:r>
              <w:t>Zmiana (w %)</w:t>
            </w:r>
          </w:p>
        </w:tc>
      </w:tr>
      <w:tr w:rsidR="005159E5" w:rsidTr="0021637A">
        <w:tc>
          <w:tcPr>
            <w:tcW w:w="3402" w:type="dxa"/>
          </w:tcPr>
          <w:p w:rsidR="005159E5" w:rsidRDefault="005159E5" w:rsidP="0021637A">
            <w:pPr>
              <w:pStyle w:val="Bezodstpw"/>
              <w:jc w:val="center"/>
            </w:pPr>
            <w:r>
              <w:t xml:space="preserve">Akcja spółki </w:t>
            </w:r>
            <w:proofErr w:type="spellStart"/>
            <w:r>
              <w:t>Immobile</w:t>
            </w:r>
            <w:proofErr w:type="spellEnd"/>
          </w:p>
        </w:tc>
        <w:tc>
          <w:tcPr>
            <w:tcW w:w="2302" w:type="dxa"/>
          </w:tcPr>
          <w:p w:rsidR="005159E5" w:rsidRDefault="005159E5" w:rsidP="0021637A">
            <w:pPr>
              <w:pStyle w:val="Bezodstpw"/>
              <w:jc w:val="center"/>
            </w:pPr>
            <w:r>
              <w:t>2,04 zł.</w:t>
            </w:r>
          </w:p>
        </w:tc>
        <w:tc>
          <w:tcPr>
            <w:tcW w:w="2303" w:type="dxa"/>
          </w:tcPr>
          <w:p w:rsidR="005159E5" w:rsidRDefault="005159E5" w:rsidP="0021637A">
            <w:pPr>
              <w:pStyle w:val="Bezodstpw"/>
              <w:jc w:val="center"/>
            </w:pPr>
            <w:r>
              <w:t>2,12 zł.</w:t>
            </w:r>
          </w:p>
        </w:tc>
        <w:tc>
          <w:tcPr>
            <w:tcW w:w="1134" w:type="dxa"/>
          </w:tcPr>
          <w:p w:rsidR="005159E5" w:rsidRDefault="005159E5" w:rsidP="0021637A">
            <w:pPr>
              <w:pStyle w:val="Bezodstpw"/>
              <w:jc w:val="center"/>
            </w:pPr>
            <w:r>
              <w:t xml:space="preserve">  +3,9 %</w:t>
            </w:r>
          </w:p>
        </w:tc>
      </w:tr>
      <w:tr w:rsidR="005159E5" w:rsidTr="0021637A">
        <w:tc>
          <w:tcPr>
            <w:tcW w:w="3402" w:type="dxa"/>
          </w:tcPr>
          <w:p w:rsidR="005159E5" w:rsidRDefault="005159E5" w:rsidP="0021637A">
            <w:pPr>
              <w:pStyle w:val="Bezodstpw"/>
              <w:jc w:val="center"/>
            </w:pPr>
            <w:r>
              <w:t>Akcja spółki Lena</w:t>
            </w:r>
          </w:p>
        </w:tc>
        <w:tc>
          <w:tcPr>
            <w:tcW w:w="2302" w:type="dxa"/>
          </w:tcPr>
          <w:p w:rsidR="005159E5" w:rsidRDefault="005159E5" w:rsidP="0021637A">
            <w:pPr>
              <w:pStyle w:val="Bezodstpw"/>
              <w:jc w:val="center"/>
            </w:pPr>
            <w:r>
              <w:t xml:space="preserve">3,99 zł. </w:t>
            </w:r>
          </w:p>
        </w:tc>
        <w:tc>
          <w:tcPr>
            <w:tcW w:w="2303" w:type="dxa"/>
          </w:tcPr>
          <w:p w:rsidR="005159E5" w:rsidRDefault="005159E5" w:rsidP="0021637A">
            <w:pPr>
              <w:pStyle w:val="Bezodstpw"/>
              <w:jc w:val="center"/>
            </w:pPr>
            <w:r>
              <w:t>4,18 zł.</w:t>
            </w:r>
          </w:p>
        </w:tc>
        <w:tc>
          <w:tcPr>
            <w:tcW w:w="1134" w:type="dxa"/>
          </w:tcPr>
          <w:p w:rsidR="005159E5" w:rsidRDefault="005159E5" w:rsidP="0021637A">
            <w:pPr>
              <w:pStyle w:val="Bezodstpw"/>
              <w:jc w:val="center"/>
            </w:pPr>
            <w:r>
              <w:t xml:space="preserve">   + 4,8 %</w:t>
            </w:r>
          </w:p>
        </w:tc>
      </w:tr>
      <w:tr w:rsidR="005159E5" w:rsidTr="0021637A">
        <w:tc>
          <w:tcPr>
            <w:tcW w:w="3402" w:type="dxa"/>
          </w:tcPr>
          <w:p w:rsidR="005159E5" w:rsidRDefault="005159E5" w:rsidP="0021637A">
            <w:pPr>
              <w:pStyle w:val="Bezodstpw"/>
              <w:jc w:val="center"/>
            </w:pPr>
            <w:r>
              <w:t xml:space="preserve">Akcja spółki  </w:t>
            </w:r>
            <w:proofErr w:type="spellStart"/>
            <w:r>
              <w:t>Netmedia</w:t>
            </w:r>
            <w:proofErr w:type="spellEnd"/>
          </w:p>
        </w:tc>
        <w:tc>
          <w:tcPr>
            <w:tcW w:w="2302" w:type="dxa"/>
          </w:tcPr>
          <w:p w:rsidR="005159E5" w:rsidRDefault="005159E5" w:rsidP="0021637A">
            <w:pPr>
              <w:pStyle w:val="Bezodstpw"/>
              <w:jc w:val="center"/>
            </w:pPr>
            <w:r>
              <w:t xml:space="preserve">3,63 zł. </w:t>
            </w:r>
          </w:p>
        </w:tc>
        <w:tc>
          <w:tcPr>
            <w:tcW w:w="2303" w:type="dxa"/>
          </w:tcPr>
          <w:p w:rsidR="005159E5" w:rsidRDefault="005159E5" w:rsidP="0021637A">
            <w:pPr>
              <w:pStyle w:val="Bezodstpw"/>
              <w:jc w:val="center"/>
            </w:pPr>
            <w:r>
              <w:t>3,98 zł.</w:t>
            </w:r>
          </w:p>
        </w:tc>
        <w:tc>
          <w:tcPr>
            <w:tcW w:w="1134" w:type="dxa"/>
          </w:tcPr>
          <w:p w:rsidR="005159E5" w:rsidRDefault="005159E5" w:rsidP="0021637A">
            <w:pPr>
              <w:pStyle w:val="Bezodstpw"/>
              <w:jc w:val="center"/>
            </w:pPr>
            <w:r>
              <w:t xml:space="preserve">    +9,6 %</w:t>
            </w:r>
          </w:p>
        </w:tc>
      </w:tr>
      <w:tr w:rsidR="005159E5" w:rsidTr="0021637A">
        <w:tc>
          <w:tcPr>
            <w:tcW w:w="3402" w:type="dxa"/>
          </w:tcPr>
          <w:p w:rsidR="005159E5" w:rsidRDefault="005159E5" w:rsidP="0021637A">
            <w:pPr>
              <w:pStyle w:val="Bezodstpw"/>
              <w:jc w:val="center"/>
            </w:pPr>
            <w:r>
              <w:t>Akcja spółki Rafako</w:t>
            </w:r>
          </w:p>
        </w:tc>
        <w:tc>
          <w:tcPr>
            <w:tcW w:w="2302" w:type="dxa"/>
            <w:tcBorders>
              <w:bottom w:val="single" w:sz="4" w:space="0" w:color="auto"/>
            </w:tcBorders>
          </w:tcPr>
          <w:p w:rsidR="005159E5" w:rsidRDefault="005159E5" w:rsidP="0021637A">
            <w:pPr>
              <w:pStyle w:val="Bezodstpw"/>
              <w:jc w:val="center"/>
            </w:pPr>
            <w:r>
              <w:t xml:space="preserve">4,25 zł. </w:t>
            </w:r>
          </w:p>
        </w:tc>
        <w:tc>
          <w:tcPr>
            <w:tcW w:w="2303" w:type="dxa"/>
            <w:tcBorders>
              <w:bottom w:val="single" w:sz="4" w:space="0" w:color="auto"/>
            </w:tcBorders>
          </w:tcPr>
          <w:p w:rsidR="005159E5" w:rsidRDefault="005159E5" w:rsidP="0021637A">
            <w:pPr>
              <w:pStyle w:val="Bezodstpw"/>
              <w:jc w:val="center"/>
            </w:pPr>
            <w:r>
              <w:t>5,80 zł.</w:t>
            </w:r>
          </w:p>
        </w:tc>
        <w:tc>
          <w:tcPr>
            <w:tcW w:w="1134" w:type="dxa"/>
          </w:tcPr>
          <w:p w:rsidR="005159E5" w:rsidRDefault="005159E5" w:rsidP="0021637A">
            <w:pPr>
              <w:pStyle w:val="Bezodstpw"/>
              <w:jc w:val="center"/>
            </w:pPr>
            <w:r>
              <w:t>+36,5 %</w:t>
            </w:r>
          </w:p>
        </w:tc>
      </w:tr>
      <w:tr w:rsidR="005159E5" w:rsidTr="0021637A">
        <w:tc>
          <w:tcPr>
            <w:tcW w:w="3402" w:type="dxa"/>
          </w:tcPr>
          <w:p w:rsidR="005159E5" w:rsidRPr="008F668F" w:rsidRDefault="005159E5" w:rsidP="0021637A">
            <w:pPr>
              <w:pStyle w:val="Bezodstpw"/>
              <w:jc w:val="center"/>
              <w:rPr>
                <w:b/>
                <w:color w:val="FF0000"/>
              </w:rPr>
            </w:pPr>
            <w:r w:rsidRPr="008F668F">
              <w:rPr>
                <w:b/>
                <w:color w:val="FF0000"/>
              </w:rPr>
              <w:t>Średnio</w:t>
            </w:r>
          </w:p>
        </w:tc>
        <w:tc>
          <w:tcPr>
            <w:tcW w:w="2302" w:type="dxa"/>
            <w:tcBorders>
              <w:right w:val="nil"/>
            </w:tcBorders>
          </w:tcPr>
          <w:p w:rsidR="005159E5" w:rsidRPr="008F668F" w:rsidRDefault="005159E5" w:rsidP="0021637A">
            <w:pPr>
              <w:pStyle w:val="Bezodstpw"/>
              <w:jc w:val="center"/>
              <w:rPr>
                <w:b/>
                <w:color w:val="FF0000"/>
              </w:rPr>
            </w:pPr>
          </w:p>
        </w:tc>
        <w:tc>
          <w:tcPr>
            <w:tcW w:w="2303" w:type="dxa"/>
            <w:tcBorders>
              <w:left w:val="nil"/>
            </w:tcBorders>
          </w:tcPr>
          <w:p w:rsidR="005159E5" w:rsidRPr="008F668F" w:rsidRDefault="005159E5" w:rsidP="0021637A">
            <w:pPr>
              <w:pStyle w:val="Bezodstpw"/>
              <w:jc w:val="center"/>
              <w:rPr>
                <w:b/>
                <w:color w:val="FF0000"/>
              </w:rPr>
            </w:pPr>
          </w:p>
        </w:tc>
        <w:tc>
          <w:tcPr>
            <w:tcW w:w="1134" w:type="dxa"/>
          </w:tcPr>
          <w:p w:rsidR="005159E5" w:rsidRPr="008F668F" w:rsidRDefault="005159E5" w:rsidP="0021637A">
            <w:pPr>
              <w:pStyle w:val="Bezodstpw"/>
              <w:jc w:val="center"/>
              <w:rPr>
                <w:b/>
                <w:color w:val="FF0000"/>
              </w:rPr>
            </w:pPr>
            <w:r>
              <w:rPr>
                <w:b/>
                <w:color w:val="FF0000"/>
              </w:rPr>
              <w:t xml:space="preserve"> +13,7 %</w:t>
            </w:r>
          </w:p>
        </w:tc>
      </w:tr>
      <w:tr w:rsidR="005159E5" w:rsidTr="0021637A">
        <w:tc>
          <w:tcPr>
            <w:tcW w:w="3402" w:type="dxa"/>
          </w:tcPr>
          <w:p w:rsidR="005159E5" w:rsidRDefault="005159E5" w:rsidP="0021637A">
            <w:pPr>
              <w:pStyle w:val="Bezodstpw"/>
              <w:jc w:val="center"/>
            </w:pPr>
            <w:r>
              <w:t>WIG 20</w:t>
            </w:r>
          </w:p>
        </w:tc>
        <w:tc>
          <w:tcPr>
            <w:tcW w:w="2302" w:type="dxa"/>
          </w:tcPr>
          <w:p w:rsidR="005159E5" w:rsidRDefault="005159E5" w:rsidP="0021637A">
            <w:pPr>
              <w:pStyle w:val="Bezodstpw"/>
              <w:jc w:val="center"/>
            </w:pPr>
            <w:r>
              <w:t xml:space="preserve">2 541,42 pkt. </w:t>
            </w:r>
          </w:p>
        </w:tc>
        <w:tc>
          <w:tcPr>
            <w:tcW w:w="2303" w:type="dxa"/>
          </w:tcPr>
          <w:p w:rsidR="005159E5" w:rsidRDefault="005159E5" w:rsidP="0021637A">
            <w:pPr>
              <w:pStyle w:val="Bezodstpw"/>
              <w:jc w:val="center"/>
            </w:pPr>
            <w:r>
              <w:t>2 416,93 pkt.</w:t>
            </w:r>
          </w:p>
        </w:tc>
        <w:tc>
          <w:tcPr>
            <w:tcW w:w="1134" w:type="dxa"/>
          </w:tcPr>
          <w:p w:rsidR="005159E5" w:rsidRDefault="005159E5" w:rsidP="0021637A">
            <w:pPr>
              <w:pStyle w:val="Bezodstpw"/>
              <w:jc w:val="center"/>
            </w:pPr>
            <w:r>
              <w:t xml:space="preserve">  -4,9 %</w:t>
            </w:r>
          </w:p>
        </w:tc>
      </w:tr>
    </w:tbl>
    <w:p w:rsidR="005159E5" w:rsidRDefault="005159E5" w:rsidP="005159E5">
      <w:pPr>
        <w:pStyle w:val="Bezodstpw"/>
        <w:jc w:val="both"/>
      </w:pPr>
      <w:r>
        <w:lastRenderedPageBreak/>
        <w:t xml:space="preserve">Tabela: Procentowa zmiana ceny akcji spółki, której akcje zostały wymienione w drugim numerze ,,Raportu Tygodniowego” z 15 września 2014 roku w rubryce ,,Wykres do przemyślenia” w okresie od 12 września do 28 listopada 2014 roku oraz procentowa zmiana indeksu WIG 20 w tym okresie. </w:t>
      </w:r>
    </w:p>
    <w:tbl>
      <w:tblPr>
        <w:tblStyle w:val="Tabela-Siatka"/>
        <w:tblW w:w="0" w:type="auto"/>
        <w:tblLook w:val="04A0"/>
      </w:tblPr>
      <w:tblGrid>
        <w:gridCol w:w="3402"/>
        <w:gridCol w:w="2302"/>
        <w:gridCol w:w="2303"/>
        <w:gridCol w:w="1134"/>
      </w:tblGrid>
      <w:tr w:rsidR="005159E5" w:rsidTr="0021637A">
        <w:tc>
          <w:tcPr>
            <w:tcW w:w="3402" w:type="dxa"/>
          </w:tcPr>
          <w:p w:rsidR="005159E5" w:rsidRDefault="005159E5" w:rsidP="0021637A">
            <w:pPr>
              <w:pStyle w:val="Bezodstpw"/>
              <w:jc w:val="center"/>
            </w:pPr>
            <w:r>
              <w:t>Instrument finansowy</w:t>
            </w:r>
          </w:p>
        </w:tc>
        <w:tc>
          <w:tcPr>
            <w:tcW w:w="2302" w:type="dxa"/>
          </w:tcPr>
          <w:p w:rsidR="005159E5" w:rsidRDefault="005159E5" w:rsidP="0021637A">
            <w:pPr>
              <w:pStyle w:val="Bezodstpw"/>
              <w:jc w:val="center"/>
            </w:pPr>
            <w:r>
              <w:t>Poziom – 12.09.2014</w:t>
            </w:r>
          </w:p>
        </w:tc>
        <w:tc>
          <w:tcPr>
            <w:tcW w:w="2303" w:type="dxa"/>
          </w:tcPr>
          <w:p w:rsidR="005159E5" w:rsidRDefault="005159E5" w:rsidP="0021637A">
            <w:pPr>
              <w:pStyle w:val="Bezodstpw"/>
              <w:jc w:val="center"/>
            </w:pPr>
            <w:r>
              <w:t>Poziom – 28.11.2014</w:t>
            </w:r>
          </w:p>
        </w:tc>
        <w:tc>
          <w:tcPr>
            <w:tcW w:w="1134" w:type="dxa"/>
          </w:tcPr>
          <w:p w:rsidR="005159E5" w:rsidRDefault="005159E5" w:rsidP="0021637A">
            <w:pPr>
              <w:pStyle w:val="Bezodstpw"/>
              <w:jc w:val="center"/>
            </w:pPr>
            <w:r>
              <w:t>Zmiana (w %)</w:t>
            </w:r>
          </w:p>
        </w:tc>
      </w:tr>
      <w:tr w:rsidR="005159E5" w:rsidTr="0021637A">
        <w:tc>
          <w:tcPr>
            <w:tcW w:w="3402" w:type="dxa"/>
          </w:tcPr>
          <w:p w:rsidR="005159E5" w:rsidRDefault="005159E5" w:rsidP="0021637A">
            <w:pPr>
              <w:pStyle w:val="Bezodstpw"/>
              <w:jc w:val="center"/>
            </w:pPr>
            <w:r>
              <w:t>Akcja spółki Boryszew</w:t>
            </w:r>
          </w:p>
        </w:tc>
        <w:tc>
          <w:tcPr>
            <w:tcW w:w="2302" w:type="dxa"/>
          </w:tcPr>
          <w:p w:rsidR="005159E5" w:rsidRDefault="005159E5" w:rsidP="0021637A">
            <w:pPr>
              <w:pStyle w:val="Bezodstpw"/>
              <w:jc w:val="center"/>
            </w:pPr>
            <w:r>
              <w:t>6,50 zł.</w:t>
            </w:r>
          </w:p>
        </w:tc>
        <w:tc>
          <w:tcPr>
            <w:tcW w:w="2303" w:type="dxa"/>
          </w:tcPr>
          <w:p w:rsidR="005159E5" w:rsidRDefault="005159E5" w:rsidP="0021637A">
            <w:pPr>
              <w:pStyle w:val="Bezodstpw"/>
              <w:jc w:val="center"/>
            </w:pPr>
            <w:r>
              <w:t xml:space="preserve">6,29 zł. </w:t>
            </w:r>
          </w:p>
        </w:tc>
        <w:tc>
          <w:tcPr>
            <w:tcW w:w="1134" w:type="dxa"/>
          </w:tcPr>
          <w:p w:rsidR="005159E5" w:rsidRDefault="005159E5" w:rsidP="0021637A">
            <w:pPr>
              <w:pStyle w:val="Bezodstpw"/>
              <w:jc w:val="center"/>
            </w:pPr>
            <w:r>
              <w:t xml:space="preserve">  -3,2 %</w:t>
            </w:r>
          </w:p>
        </w:tc>
      </w:tr>
      <w:tr w:rsidR="005159E5" w:rsidRPr="008F668F" w:rsidTr="0021637A">
        <w:tc>
          <w:tcPr>
            <w:tcW w:w="3402" w:type="dxa"/>
          </w:tcPr>
          <w:p w:rsidR="005159E5" w:rsidRPr="008F668F" w:rsidRDefault="005159E5" w:rsidP="0021637A">
            <w:pPr>
              <w:pStyle w:val="Bezodstpw"/>
              <w:jc w:val="center"/>
              <w:rPr>
                <w:b/>
                <w:color w:val="FF0000"/>
              </w:rPr>
            </w:pPr>
            <w:r w:rsidRPr="008F668F">
              <w:rPr>
                <w:b/>
                <w:color w:val="FF0000"/>
              </w:rPr>
              <w:t>Średnio</w:t>
            </w:r>
          </w:p>
        </w:tc>
        <w:tc>
          <w:tcPr>
            <w:tcW w:w="2302" w:type="dxa"/>
            <w:tcBorders>
              <w:right w:val="nil"/>
            </w:tcBorders>
          </w:tcPr>
          <w:p w:rsidR="005159E5" w:rsidRPr="008F668F" w:rsidRDefault="005159E5" w:rsidP="0021637A">
            <w:pPr>
              <w:pStyle w:val="Bezodstpw"/>
              <w:jc w:val="center"/>
              <w:rPr>
                <w:b/>
                <w:color w:val="FF0000"/>
              </w:rPr>
            </w:pPr>
          </w:p>
        </w:tc>
        <w:tc>
          <w:tcPr>
            <w:tcW w:w="2303" w:type="dxa"/>
            <w:tcBorders>
              <w:left w:val="nil"/>
            </w:tcBorders>
          </w:tcPr>
          <w:p w:rsidR="005159E5" w:rsidRPr="008F668F" w:rsidRDefault="005159E5" w:rsidP="0021637A">
            <w:pPr>
              <w:pStyle w:val="Bezodstpw"/>
              <w:jc w:val="center"/>
              <w:rPr>
                <w:b/>
                <w:color w:val="FF0000"/>
              </w:rPr>
            </w:pPr>
          </w:p>
        </w:tc>
        <w:tc>
          <w:tcPr>
            <w:tcW w:w="1134" w:type="dxa"/>
          </w:tcPr>
          <w:p w:rsidR="005159E5" w:rsidRPr="008F668F" w:rsidRDefault="005159E5" w:rsidP="0021637A">
            <w:pPr>
              <w:pStyle w:val="Bezodstpw"/>
              <w:jc w:val="center"/>
              <w:rPr>
                <w:b/>
                <w:color w:val="FF0000"/>
              </w:rPr>
            </w:pPr>
            <w:r>
              <w:rPr>
                <w:b/>
                <w:color w:val="FF0000"/>
              </w:rPr>
              <w:t xml:space="preserve">  -3,2 %</w:t>
            </w:r>
          </w:p>
        </w:tc>
      </w:tr>
      <w:tr w:rsidR="005159E5" w:rsidTr="0021637A">
        <w:tc>
          <w:tcPr>
            <w:tcW w:w="3402" w:type="dxa"/>
          </w:tcPr>
          <w:p w:rsidR="005159E5" w:rsidRDefault="005159E5" w:rsidP="0021637A">
            <w:pPr>
              <w:pStyle w:val="Bezodstpw"/>
              <w:jc w:val="center"/>
            </w:pPr>
            <w:r>
              <w:t>WIG 20</w:t>
            </w:r>
          </w:p>
        </w:tc>
        <w:tc>
          <w:tcPr>
            <w:tcW w:w="2302" w:type="dxa"/>
          </w:tcPr>
          <w:p w:rsidR="005159E5" w:rsidRDefault="005159E5" w:rsidP="0021637A">
            <w:pPr>
              <w:pStyle w:val="Bezodstpw"/>
              <w:jc w:val="center"/>
            </w:pPr>
            <w:r>
              <w:t xml:space="preserve">2 497,38 pkt. </w:t>
            </w:r>
          </w:p>
        </w:tc>
        <w:tc>
          <w:tcPr>
            <w:tcW w:w="2303" w:type="dxa"/>
          </w:tcPr>
          <w:p w:rsidR="005159E5" w:rsidRDefault="005159E5" w:rsidP="0021637A">
            <w:pPr>
              <w:pStyle w:val="Bezodstpw"/>
              <w:jc w:val="center"/>
            </w:pPr>
            <w:r>
              <w:t>2 416,93 pkt.</w:t>
            </w:r>
          </w:p>
        </w:tc>
        <w:tc>
          <w:tcPr>
            <w:tcW w:w="1134" w:type="dxa"/>
          </w:tcPr>
          <w:p w:rsidR="005159E5" w:rsidRDefault="005159E5" w:rsidP="0021637A">
            <w:pPr>
              <w:pStyle w:val="Bezodstpw"/>
              <w:jc w:val="center"/>
            </w:pPr>
            <w:r>
              <w:t xml:space="preserve"> -3,2 %</w:t>
            </w:r>
          </w:p>
        </w:tc>
      </w:tr>
    </w:tbl>
    <w:p w:rsidR="005159E5" w:rsidRDefault="005159E5" w:rsidP="005159E5">
      <w:pPr>
        <w:pStyle w:val="Bezodstpw"/>
        <w:jc w:val="both"/>
      </w:pPr>
    </w:p>
    <w:p w:rsidR="005159E5" w:rsidRDefault="005159E5" w:rsidP="005159E5">
      <w:pPr>
        <w:pStyle w:val="Bezodstpw"/>
        <w:jc w:val="both"/>
      </w:pPr>
      <w:r>
        <w:t xml:space="preserve">Tabela: Procentowa zmiana ceny akcji spółki, której akcje zostały umieszczone 16 września na stronie internetowej </w:t>
      </w:r>
      <w:hyperlink r:id="rId15" w:history="1">
        <w:r w:rsidRPr="003C5ED1">
          <w:rPr>
            <w:rStyle w:val="Hipercze"/>
          </w:rPr>
          <w:t>www.analizy-rynkowe.pl</w:t>
        </w:r>
      </w:hyperlink>
      <w:r>
        <w:t xml:space="preserve"> w rubryce  ,,Wykres do przemyślenia” w okresie od 15 września do 28 listopada 2014 roku oraz procentowa zmiana indeksu WIG 20 w tym okresie. </w:t>
      </w:r>
    </w:p>
    <w:tbl>
      <w:tblPr>
        <w:tblStyle w:val="Tabela-Siatka"/>
        <w:tblW w:w="0" w:type="auto"/>
        <w:tblLook w:val="04A0"/>
      </w:tblPr>
      <w:tblGrid>
        <w:gridCol w:w="3402"/>
        <w:gridCol w:w="2302"/>
        <w:gridCol w:w="2303"/>
        <w:gridCol w:w="1134"/>
      </w:tblGrid>
      <w:tr w:rsidR="005159E5" w:rsidTr="0021637A">
        <w:tc>
          <w:tcPr>
            <w:tcW w:w="3402" w:type="dxa"/>
          </w:tcPr>
          <w:p w:rsidR="005159E5" w:rsidRDefault="005159E5" w:rsidP="0021637A">
            <w:pPr>
              <w:pStyle w:val="Bezodstpw"/>
              <w:jc w:val="center"/>
            </w:pPr>
            <w:r>
              <w:t>Instrument finansowy</w:t>
            </w:r>
          </w:p>
        </w:tc>
        <w:tc>
          <w:tcPr>
            <w:tcW w:w="2302" w:type="dxa"/>
          </w:tcPr>
          <w:p w:rsidR="005159E5" w:rsidRDefault="005159E5" w:rsidP="0021637A">
            <w:pPr>
              <w:pStyle w:val="Bezodstpw"/>
              <w:jc w:val="center"/>
            </w:pPr>
            <w:r>
              <w:t>Poziom – 15.09.2014</w:t>
            </w:r>
          </w:p>
        </w:tc>
        <w:tc>
          <w:tcPr>
            <w:tcW w:w="2303" w:type="dxa"/>
          </w:tcPr>
          <w:p w:rsidR="005159E5" w:rsidRDefault="005159E5" w:rsidP="0021637A">
            <w:pPr>
              <w:pStyle w:val="Bezodstpw"/>
              <w:jc w:val="center"/>
            </w:pPr>
            <w:r>
              <w:t>Poziom – 28.11.2014</w:t>
            </w:r>
          </w:p>
        </w:tc>
        <w:tc>
          <w:tcPr>
            <w:tcW w:w="1134" w:type="dxa"/>
          </w:tcPr>
          <w:p w:rsidR="005159E5" w:rsidRDefault="005159E5" w:rsidP="0021637A">
            <w:pPr>
              <w:pStyle w:val="Bezodstpw"/>
              <w:jc w:val="center"/>
            </w:pPr>
            <w:r>
              <w:t>Zmiana (w %)</w:t>
            </w:r>
          </w:p>
        </w:tc>
      </w:tr>
      <w:tr w:rsidR="005159E5" w:rsidTr="0021637A">
        <w:tc>
          <w:tcPr>
            <w:tcW w:w="3402" w:type="dxa"/>
          </w:tcPr>
          <w:p w:rsidR="005159E5" w:rsidRDefault="005159E5" w:rsidP="0021637A">
            <w:pPr>
              <w:pStyle w:val="Bezodstpw"/>
              <w:jc w:val="center"/>
            </w:pPr>
            <w:r>
              <w:t xml:space="preserve">Akcja spółki </w:t>
            </w:r>
            <w:proofErr w:type="spellStart"/>
            <w:r>
              <w:t>Erbud</w:t>
            </w:r>
            <w:proofErr w:type="spellEnd"/>
          </w:p>
        </w:tc>
        <w:tc>
          <w:tcPr>
            <w:tcW w:w="2302" w:type="dxa"/>
          </w:tcPr>
          <w:p w:rsidR="005159E5" w:rsidRDefault="005159E5" w:rsidP="0021637A">
            <w:pPr>
              <w:pStyle w:val="Bezodstpw"/>
              <w:jc w:val="center"/>
            </w:pPr>
            <w:r>
              <w:t>26,5 zł.</w:t>
            </w:r>
          </w:p>
        </w:tc>
        <w:tc>
          <w:tcPr>
            <w:tcW w:w="2303" w:type="dxa"/>
          </w:tcPr>
          <w:p w:rsidR="005159E5" w:rsidRDefault="005159E5" w:rsidP="0021637A">
            <w:pPr>
              <w:pStyle w:val="Bezodstpw"/>
              <w:jc w:val="center"/>
            </w:pPr>
            <w:r>
              <w:t>25,99 zł.</w:t>
            </w:r>
          </w:p>
        </w:tc>
        <w:tc>
          <w:tcPr>
            <w:tcW w:w="1134" w:type="dxa"/>
          </w:tcPr>
          <w:p w:rsidR="005159E5" w:rsidRDefault="005159E5" w:rsidP="0021637A">
            <w:pPr>
              <w:pStyle w:val="Bezodstpw"/>
              <w:jc w:val="center"/>
            </w:pPr>
            <w:r>
              <w:t xml:space="preserve"> -1,9 %</w:t>
            </w:r>
          </w:p>
        </w:tc>
      </w:tr>
      <w:tr w:rsidR="005159E5" w:rsidRPr="008F668F" w:rsidTr="0021637A">
        <w:tc>
          <w:tcPr>
            <w:tcW w:w="3402" w:type="dxa"/>
          </w:tcPr>
          <w:p w:rsidR="005159E5" w:rsidRPr="008F668F" w:rsidRDefault="005159E5" w:rsidP="0021637A">
            <w:pPr>
              <w:pStyle w:val="Bezodstpw"/>
              <w:jc w:val="center"/>
              <w:rPr>
                <w:b/>
                <w:color w:val="FF0000"/>
              </w:rPr>
            </w:pPr>
            <w:r w:rsidRPr="008F668F">
              <w:rPr>
                <w:b/>
                <w:color w:val="FF0000"/>
              </w:rPr>
              <w:t>Średnio</w:t>
            </w:r>
          </w:p>
        </w:tc>
        <w:tc>
          <w:tcPr>
            <w:tcW w:w="2302" w:type="dxa"/>
            <w:tcBorders>
              <w:right w:val="nil"/>
            </w:tcBorders>
          </w:tcPr>
          <w:p w:rsidR="005159E5" w:rsidRPr="008F668F" w:rsidRDefault="005159E5" w:rsidP="0021637A">
            <w:pPr>
              <w:pStyle w:val="Bezodstpw"/>
              <w:jc w:val="center"/>
              <w:rPr>
                <w:b/>
                <w:color w:val="FF0000"/>
              </w:rPr>
            </w:pPr>
          </w:p>
        </w:tc>
        <w:tc>
          <w:tcPr>
            <w:tcW w:w="2303" w:type="dxa"/>
            <w:tcBorders>
              <w:left w:val="nil"/>
            </w:tcBorders>
          </w:tcPr>
          <w:p w:rsidR="005159E5" w:rsidRPr="008F668F" w:rsidRDefault="005159E5" w:rsidP="0021637A">
            <w:pPr>
              <w:pStyle w:val="Bezodstpw"/>
              <w:jc w:val="center"/>
              <w:rPr>
                <w:b/>
                <w:color w:val="FF0000"/>
              </w:rPr>
            </w:pPr>
          </w:p>
        </w:tc>
        <w:tc>
          <w:tcPr>
            <w:tcW w:w="1134" w:type="dxa"/>
          </w:tcPr>
          <w:p w:rsidR="005159E5" w:rsidRPr="008F668F" w:rsidRDefault="005159E5" w:rsidP="0021637A">
            <w:pPr>
              <w:pStyle w:val="Bezodstpw"/>
              <w:jc w:val="center"/>
              <w:rPr>
                <w:b/>
                <w:color w:val="FF0000"/>
              </w:rPr>
            </w:pPr>
            <w:r>
              <w:rPr>
                <w:b/>
                <w:color w:val="FF0000"/>
              </w:rPr>
              <w:t xml:space="preserve"> -1,9 %</w:t>
            </w:r>
          </w:p>
        </w:tc>
      </w:tr>
      <w:tr w:rsidR="005159E5" w:rsidTr="0021637A">
        <w:tc>
          <w:tcPr>
            <w:tcW w:w="3402" w:type="dxa"/>
          </w:tcPr>
          <w:p w:rsidR="005159E5" w:rsidRDefault="005159E5" w:rsidP="0021637A">
            <w:pPr>
              <w:pStyle w:val="Bezodstpw"/>
              <w:jc w:val="center"/>
            </w:pPr>
            <w:r>
              <w:t>WIG 20</w:t>
            </w:r>
          </w:p>
        </w:tc>
        <w:tc>
          <w:tcPr>
            <w:tcW w:w="2302" w:type="dxa"/>
          </w:tcPr>
          <w:p w:rsidR="005159E5" w:rsidRDefault="005159E5" w:rsidP="0021637A">
            <w:pPr>
              <w:pStyle w:val="Bezodstpw"/>
              <w:jc w:val="center"/>
            </w:pPr>
            <w:r>
              <w:t xml:space="preserve">2 489,77 pkt. </w:t>
            </w:r>
          </w:p>
        </w:tc>
        <w:tc>
          <w:tcPr>
            <w:tcW w:w="2303" w:type="dxa"/>
          </w:tcPr>
          <w:p w:rsidR="005159E5" w:rsidRDefault="005159E5" w:rsidP="0021637A">
            <w:pPr>
              <w:pStyle w:val="Bezodstpw"/>
              <w:jc w:val="center"/>
            </w:pPr>
            <w:r>
              <w:t>2 416,93 pkt.</w:t>
            </w:r>
          </w:p>
        </w:tc>
        <w:tc>
          <w:tcPr>
            <w:tcW w:w="1134" w:type="dxa"/>
          </w:tcPr>
          <w:p w:rsidR="005159E5" w:rsidRDefault="005159E5" w:rsidP="0021637A">
            <w:pPr>
              <w:pStyle w:val="Bezodstpw"/>
              <w:jc w:val="center"/>
            </w:pPr>
            <w:r>
              <w:t>-2,9 %</w:t>
            </w:r>
          </w:p>
        </w:tc>
      </w:tr>
    </w:tbl>
    <w:p w:rsidR="005159E5" w:rsidRDefault="005159E5" w:rsidP="005159E5">
      <w:pPr>
        <w:pStyle w:val="Bezodstpw"/>
        <w:jc w:val="both"/>
      </w:pPr>
    </w:p>
    <w:p w:rsidR="005159E5" w:rsidRDefault="005159E5" w:rsidP="005159E5">
      <w:pPr>
        <w:pStyle w:val="Bezodstpw"/>
        <w:jc w:val="both"/>
      </w:pPr>
      <w:r>
        <w:t xml:space="preserve">Tabela: Procentowa zmiana ceny akcji spółki, której akcje zostały wymienione w trzecim numerze ,,Raportu Tygodniowego” z 22 września 2014 roku w rubryce ,,Wykres do przemyślenia” w okresie od 19 września do 28 listopada 2014 roku oraz procentowa zmiana indeksu WIG 20 w tym okresie. </w:t>
      </w:r>
    </w:p>
    <w:p w:rsidR="005159E5" w:rsidRDefault="005159E5" w:rsidP="005159E5">
      <w:pPr>
        <w:pStyle w:val="Bezodstpw"/>
        <w:jc w:val="both"/>
      </w:pPr>
    </w:p>
    <w:tbl>
      <w:tblPr>
        <w:tblStyle w:val="Tabela-Siatka"/>
        <w:tblW w:w="0" w:type="auto"/>
        <w:tblLook w:val="04A0"/>
      </w:tblPr>
      <w:tblGrid>
        <w:gridCol w:w="3402"/>
        <w:gridCol w:w="2302"/>
        <w:gridCol w:w="2303"/>
        <w:gridCol w:w="1134"/>
      </w:tblGrid>
      <w:tr w:rsidR="005159E5" w:rsidTr="0021637A">
        <w:tc>
          <w:tcPr>
            <w:tcW w:w="3402" w:type="dxa"/>
          </w:tcPr>
          <w:p w:rsidR="005159E5" w:rsidRDefault="005159E5" w:rsidP="0021637A">
            <w:pPr>
              <w:pStyle w:val="Bezodstpw"/>
              <w:jc w:val="center"/>
            </w:pPr>
            <w:r>
              <w:t>Instrument finansowy</w:t>
            </w:r>
          </w:p>
        </w:tc>
        <w:tc>
          <w:tcPr>
            <w:tcW w:w="2302" w:type="dxa"/>
          </w:tcPr>
          <w:p w:rsidR="005159E5" w:rsidRDefault="005159E5" w:rsidP="0021637A">
            <w:pPr>
              <w:pStyle w:val="Bezodstpw"/>
              <w:jc w:val="center"/>
            </w:pPr>
            <w:r>
              <w:t>Poziom – 19.09.2014</w:t>
            </w:r>
          </w:p>
        </w:tc>
        <w:tc>
          <w:tcPr>
            <w:tcW w:w="2303" w:type="dxa"/>
          </w:tcPr>
          <w:p w:rsidR="005159E5" w:rsidRDefault="005159E5" w:rsidP="0021637A">
            <w:pPr>
              <w:pStyle w:val="Bezodstpw"/>
              <w:jc w:val="center"/>
            </w:pPr>
            <w:r>
              <w:t>Poziom – 28.11.2014</w:t>
            </w:r>
          </w:p>
        </w:tc>
        <w:tc>
          <w:tcPr>
            <w:tcW w:w="1134" w:type="dxa"/>
          </w:tcPr>
          <w:p w:rsidR="005159E5" w:rsidRDefault="005159E5" w:rsidP="0021637A">
            <w:pPr>
              <w:pStyle w:val="Bezodstpw"/>
              <w:jc w:val="center"/>
            </w:pPr>
            <w:r>
              <w:t>Zmiana (w %)</w:t>
            </w:r>
          </w:p>
        </w:tc>
      </w:tr>
      <w:tr w:rsidR="005159E5" w:rsidTr="0021637A">
        <w:tc>
          <w:tcPr>
            <w:tcW w:w="3402" w:type="dxa"/>
          </w:tcPr>
          <w:p w:rsidR="005159E5" w:rsidRDefault="005159E5" w:rsidP="0021637A">
            <w:pPr>
              <w:pStyle w:val="Bezodstpw"/>
              <w:jc w:val="center"/>
            </w:pPr>
            <w:r>
              <w:t>Akcja spółki IF Capital</w:t>
            </w:r>
          </w:p>
        </w:tc>
        <w:tc>
          <w:tcPr>
            <w:tcW w:w="2302" w:type="dxa"/>
          </w:tcPr>
          <w:p w:rsidR="005159E5" w:rsidRDefault="005159E5" w:rsidP="0021637A">
            <w:pPr>
              <w:pStyle w:val="Bezodstpw"/>
              <w:jc w:val="center"/>
            </w:pPr>
            <w:r>
              <w:t>1,32 zł.</w:t>
            </w:r>
          </w:p>
        </w:tc>
        <w:tc>
          <w:tcPr>
            <w:tcW w:w="2303" w:type="dxa"/>
          </w:tcPr>
          <w:p w:rsidR="005159E5" w:rsidRDefault="005159E5" w:rsidP="0021637A">
            <w:pPr>
              <w:pStyle w:val="Bezodstpw"/>
              <w:jc w:val="center"/>
            </w:pPr>
            <w:r>
              <w:t>1,17 zł.</w:t>
            </w:r>
          </w:p>
        </w:tc>
        <w:tc>
          <w:tcPr>
            <w:tcW w:w="1134" w:type="dxa"/>
          </w:tcPr>
          <w:p w:rsidR="005159E5" w:rsidRDefault="005159E5" w:rsidP="0021637A">
            <w:pPr>
              <w:pStyle w:val="Bezodstpw"/>
              <w:jc w:val="center"/>
            </w:pPr>
            <w:r>
              <w:t>-11,4 %</w:t>
            </w:r>
          </w:p>
        </w:tc>
      </w:tr>
      <w:tr w:rsidR="005159E5" w:rsidRPr="008F668F" w:rsidTr="0021637A">
        <w:tc>
          <w:tcPr>
            <w:tcW w:w="3402" w:type="dxa"/>
          </w:tcPr>
          <w:p w:rsidR="005159E5" w:rsidRPr="008F668F" w:rsidRDefault="005159E5" w:rsidP="0021637A">
            <w:pPr>
              <w:pStyle w:val="Bezodstpw"/>
              <w:jc w:val="center"/>
              <w:rPr>
                <w:b/>
                <w:color w:val="FF0000"/>
              </w:rPr>
            </w:pPr>
            <w:r w:rsidRPr="008F668F">
              <w:rPr>
                <w:b/>
                <w:color w:val="FF0000"/>
              </w:rPr>
              <w:t>Średnio</w:t>
            </w:r>
          </w:p>
        </w:tc>
        <w:tc>
          <w:tcPr>
            <w:tcW w:w="2302" w:type="dxa"/>
            <w:tcBorders>
              <w:right w:val="nil"/>
            </w:tcBorders>
          </w:tcPr>
          <w:p w:rsidR="005159E5" w:rsidRPr="008F668F" w:rsidRDefault="005159E5" w:rsidP="0021637A">
            <w:pPr>
              <w:pStyle w:val="Bezodstpw"/>
              <w:jc w:val="center"/>
              <w:rPr>
                <w:b/>
                <w:color w:val="FF0000"/>
              </w:rPr>
            </w:pPr>
          </w:p>
        </w:tc>
        <w:tc>
          <w:tcPr>
            <w:tcW w:w="2303" w:type="dxa"/>
            <w:tcBorders>
              <w:left w:val="nil"/>
            </w:tcBorders>
          </w:tcPr>
          <w:p w:rsidR="005159E5" w:rsidRPr="008F668F" w:rsidRDefault="005159E5" w:rsidP="0021637A">
            <w:pPr>
              <w:pStyle w:val="Bezodstpw"/>
              <w:jc w:val="center"/>
              <w:rPr>
                <w:b/>
                <w:color w:val="FF0000"/>
              </w:rPr>
            </w:pPr>
          </w:p>
        </w:tc>
        <w:tc>
          <w:tcPr>
            <w:tcW w:w="1134" w:type="dxa"/>
          </w:tcPr>
          <w:p w:rsidR="005159E5" w:rsidRPr="008F668F" w:rsidRDefault="005159E5" w:rsidP="0021637A">
            <w:pPr>
              <w:pStyle w:val="Bezodstpw"/>
              <w:jc w:val="center"/>
              <w:rPr>
                <w:b/>
                <w:color w:val="FF0000"/>
              </w:rPr>
            </w:pPr>
            <w:r>
              <w:rPr>
                <w:b/>
                <w:color w:val="FF0000"/>
              </w:rPr>
              <w:t>-11,4 %</w:t>
            </w:r>
          </w:p>
        </w:tc>
      </w:tr>
      <w:tr w:rsidR="005159E5" w:rsidTr="0021637A">
        <w:tc>
          <w:tcPr>
            <w:tcW w:w="3402" w:type="dxa"/>
          </w:tcPr>
          <w:p w:rsidR="005159E5" w:rsidRDefault="005159E5" w:rsidP="0021637A">
            <w:pPr>
              <w:pStyle w:val="Bezodstpw"/>
              <w:jc w:val="center"/>
            </w:pPr>
            <w:r>
              <w:t>WIG 20</w:t>
            </w:r>
          </w:p>
        </w:tc>
        <w:tc>
          <w:tcPr>
            <w:tcW w:w="2302" w:type="dxa"/>
          </w:tcPr>
          <w:p w:rsidR="005159E5" w:rsidRDefault="005159E5" w:rsidP="0021637A">
            <w:pPr>
              <w:pStyle w:val="Bezodstpw"/>
              <w:jc w:val="center"/>
            </w:pPr>
            <w:r>
              <w:t xml:space="preserve">2 497,38 pkt. </w:t>
            </w:r>
          </w:p>
        </w:tc>
        <w:tc>
          <w:tcPr>
            <w:tcW w:w="2303" w:type="dxa"/>
          </w:tcPr>
          <w:p w:rsidR="005159E5" w:rsidRDefault="005159E5" w:rsidP="0021637A">
            <w:pPr>
              <w:pStyle w:val="Bezodstpw"/>
              <w:jc w:val="center"/>
            </w:pPr>
            <w:r>
              <w:t>2 416,93 pkt.</w:t>
            </w:r>
          </w:p>
        </w:tc>
        <w:tc>
          <w:tcPr>
            <w:tcW w:w="1134" w:type="dxa"/>
          </w:tcPr>
          <w:p w:rsidR="005159E5" w:rsidRDefault="005159E5" w:rsidP="0021637A">
            <w:pPr>
              <w:pStyle w:val="Bezodstpw"/>
              <w:jc w:val="center"/>
            </w:pPr>
            <w:r>
              <w:t>-3,2 %</w:t>
            </w:r>
          </w:p>
        </w:tc>
      </w:tr>
    </w:tbl>
    <w:p w:rsidR="005159E5" w:rsidRDefault="005159E5" w:rsidP="005159E5">
      <w:pPr>
        <w:pStyle w:val="Bezodstpw"/>
        <w:jc w:val="both"/>
      </w:pPr>
    </w:p>
    <w:p w:rsidR="005159E5" w:rsidRDefault="005159E5" w:rsidP="005159E5">
      <w:pPr>
        <w:pStyle w:val="Bezodstpw"/>
        <w:jc w:val="both"/>
      </w:pPr>
      <w:r>
        <w:t xml:space="preserve">Tabela: Procentowa zmiana ceny akcji spółki, której akcje zostały umieszczone 25 września na stronie internetowej </w:t>
      </w:r>
      <w:hyperlink r:id="rId16" w:history="1">
        <w:r w:rsidRPr="003C5ED1">
          <w:rPr>
            <w:rStyle w:val="Hipercze"/>
          </w:rPr>
          <w:t>www.analizy-rynkowe.pl</w:t>
        </w:r>
      </w:hyperlink>
      <w:r>
        <w:t xml:space="preserve"> w rubryce  ,,Wykres do przemyślenia” w okresie od 24 września do 28 listopada 2014 roku oraz procentowa zmiana indeksu WIG 20 w tym okresie. </w:t>
      </w:r>
    </w:p>
    <w:p w:rsidR="005159E5" w:rsidRDefault="005159E5" w:rsidP="005159E5">
      <w:pPr>
        <w:pStyle w:val="Bezodstpw"/>
        <w:jc w:val="both"/>
      </w:pPr>
    </w:p>
    <w:tbl>
      <w:tblPr>
        <w:tblStyle w:val="Tabela-Siatka"/>
        <w:tblW w:w="0" w:type="auto"/>
        <w:tblLook w:val="04A0"/>
      </w:tblPr>
      <w:tblGrid>
        <w:gridCol w:w="3402"/>
        <w:gridCol w:w="2302"/>
        <w:gridCol w:w="2303"/>
        <w:gridCol w:w="1134"/>
      </w:tblGrid>
      <w:tr w:rsidR="005159E5" w:rsidTr="0021637A">
        <w:tc>
          <w:tcPr>
            <w:tcW w:w="3402" w:type="dxa"/>
          </w:tcPr>
          <w:p w:rsidR="005159E5" w:rsidRDefault="005159E5" w:rsidP="0021637A">
            <w:pPr>
              <w:pStyle w:val="Bezodstpw"/>
              <w:jc w:val="center"/>
            </w:pPr>
            <w:r>
              <w:t>Instrument finansowy</w:t>
            </w:r>
          </w:p>
        </w:tc>
        <w:tc>
          <w:tcPr>
            <w:tcW w:w="2302" w:type="dxa"/>
          </w:tcPr>
          <w:p w:rsidR="005159E5" w:rsidRDefault="005159E5" w:rsidP="0021637A">
            <w:pPr>
              <w:pStyle w:val="Bezodstpw"/>
              <w:jc w:val="center"/>
            </w:pPr>
            <w:r>
              <w:t>Poziom – 24.09.2014</w:t>
            </w:r>
          </w:p>
        </w:tc>
        <w:tc>
          <w:tcPr>
            <w:tcW w:w="2303" w:type="dxa"/>
          </w:tcPr>
          <w:p w:rsidR="005159E5" w:rsidRDefault="005159E5" w:rsidP="0021637A">
            <w:pPr>
              <w:pStyle w:val="Bezodstpw"/>
              <w:jc w:val="center"/>
            </w:pPr>
            <w:r>
              <w:t>Poziom – 28.11.2014</w:t>
            </w:r>
          </w:p>
        </w:tc>
        <w:tc>
          <w:tcPr>
            <w:tcW w:w="1134" w:type="dxa"/>
          </w:tcPr>
          <w:p w:rsidR="005159E5" w:rsidRDefault="005159E5" w:rsidP="0021637A">
            <w:pPr>
              <w:pStyle w:val="Bezodstpw"/>
              <w:jc w:val="center"/>
            </w:pPr>
            <w:r>
              <w:t>Zmiana (w %)</w:t>
            </w:r>
          </w:p>
        </w:tc>
      </w:tr>
      <w:tr w:rsidR="005159E5" w:rsidTr="0021637A">
        <w:tc>
          <w:tcPr>
            <w:tcW w:w="3402" w:type="dxa"/>
          </w:tcPr>
          <w:p w:rsidR="005159E5" w:rsidRDefault="005159E5" w:rsidP="0021637A">
            <w:pPr>
              <w:pStyle w:val="Bezodstpw"/>
              <w:jc w:val="center"/>
            </w:pPr>
            <w:r>
              <w:t>Akcja spółki Capital Partners</w:t>
            </w:r>
          </w:p>
        </w:tc>
        <w:tc>
          <w:tcPr>
            <w:tcW w:w="2302" w:type="dxa"/>
          </w:tcPr>
          <w:p w:rsidR="005159E5" w:rsidRDefault="005159E5" w:rsidP="0021637A">
            <w:pPr>
              <w:pStyle w:val="Bezodstpw"/>
              <w:jc w:val="center"/>
            </w:pPr>
            <w:r>
              <w:t>1,85 zł.</w:t>
            </w:r>
          </w:p>
        </w:tc>
        <w:tc>
          <w:tcPr>
            <w:tcW w:w="2303" w:type="dxa"/>
          </w:tcPr>
          <w:p w:rsidR="005159E5" w:rsidRDefault="005159E5" w:rsidP="0021637A">
            <w:pPr>
              <w:pStyle w:val="Bezodstpw"/>
              <w:jc w:val="center"/>
            </w:pPr>
            <w:r>
              <w:t>2,22 zł.</w:t>
            </w:r>
          </w:p>
        </w:tc>
        <w:tc>
          <w:tcPr>
            <w:tcW w:w="1134" w:type="dxa"/>
          </w:tcPr>
          <w:p w:rsidR="005159E5" w:rsidRDefault="005159E5" w:rsidP="0021637A">
            <w:pPr>
              <w:pStyle w:val="Bezodstpw"/>
              <w:jc w:val="center"/>
            </w:pPr>
            <w:r>
              <w:t>+20,0 %</w:t>
            </w:r>
          </w:p>
        </w:tc>
      </w:tr>
      <w:tr w:rsidR="005159E5" w:rsidRPr="008F668F" w:rsidTr="0021637A">
        <w:tc>
          <w:tcPr>
            <w:tcW w:w="3402" w:type="dxa"/>
          </w:tcPr>
          <w:p w:rsidR="005159E5" w:rsidRPr="008F668F" w:rsidRDefault="005159E5" w:rsidP="0021637A">
            <w:pPr>
              <w:pStyle w:val="Bezodstpw"/>
              <w:jc w:val="center"/>
              <w:rPr>
                <w:b/>
                <w:color w:val="FF0000"/>
              </w:rPr>
            </w:pPr>
            <w:r w:rsidRPr="008F668F">
              <w:rPr>
                <w:b/>
                <w:color w:val="FF0000"/>
              </w:rPr>
              <w:t>Średnio</w:t>
            </w:r>
          </w:p>
        </w:tc>
        <w:tc>
          <w:tcPr>
            <w:tcW w:w="2302" w:type="dxa"/>
            <w:tcBorders>
              <w:right w:val="nil"/>
            </w:tcBorders>
          </w:tcPr>
          <w:p w:rsidR="005159E5" w:rsidRPr="008F668F" w:rsidRDefault="005159E5" w:rsidP="0021637A">
            <w:pPr>
              <w:pStyle w:val="Bezodstpw"/>
              <w:jc w:val="center"/>
              <w:rPr>
                <w:b/>
                <w:color w:val="FF0000"/>
              </w:rPr>
            </w:pPr>
          </w:p>
        </w:tc>
        <w:tc>
          <w:tcPr>
            <w:tcW w:w="2303" w:type="dxa"/>
            <w:tcBorders>
              <w:left w:val="nil"/>
            </w:tcBorders>
          </w:tcPr>
          <w:p w:rsidR="005159E5" w:rsidRPr="008F668F" w:rsidRDefault="005159E5" w:rsidP="0021637A">
            <w:pPr>
              <w:pStyle w:val="Bezodstpw"/>
              <w:jc w:val="center"/>
              <w:rPr>
                <w:b/>
                <w:color w:val="FF0000"/>
              </w:rPr>
            </w:pPr>
          </w:p>
        </w:tc>
        <w:tc>
          <w:tcPr>
            <w:tcW w:w="1134" w:type="dxa"/>
          </w:tcPr>
          <w:p w:rsidR="005159E5" w:rsidRPr="008F668F" w:rsidRDefault="005159E5" w:rsidP="0021637A">
            <w:pPr>
              <w:pStyle w:val="Bezodstpw"/>
              <w:jc w:val="center"/>
              <w:rPr>
                <w:b/>
                <w:color w:val="FF0000"/>
              </w:rPr>
            </w:pPr>
            <w:r>
              <w:rPr>
                <w:b/>
                <w:color w:val="FF0000"/>
              </w:rPr>
              <w:t>+20,0 %</w:t>
            </w:r>
          </w:p>
        </w:tc>
      </w:tr>
      <w:tr w:rsidR="005159E5" w:rsidTr="0021637A">
        <w:tc>
          <w:tcPr>
            <w:tcW w:w="3402" w:type="dxa"/>
          </w:tcPr>
          <w:p w:rsidR="005159E5" w:rsidRDefault="005159E5" w:rsidP="0021637A">
            <w:pPr>
              <w:pStyle w:val="Bezodstpw"/>
              <w:jc w:val="center"/>
            </w:pPr>
            <w:r>
              <w:t>WIG 20</w:t>
            </w:r>
          </w:p>
        </w:tc>
        <w:tc>
          <w:tcPr>
            <w:tcW w:w="2302" w:type="dxa"/>
          </w:tcPr>
          <w:p w:rsidR="005159E5" w:rsidRDefault="005159E5" w:rsidP="0021637A">
            <w:pPr>
              <w:pStyle w:val="Bezodstpw"/>
              <w:jc w:val="center"/>
            </w:pPr>
            <w:r>
              <w:t xml:space="preserve">2 489,77 pkt. </w:t>
            </w:r>
          </w:p>
        </w:tc>
        <w:tc>
          <w:tcPr>
            <w:tcW w:w="2303" w:type="dxa"/>
          </w:tcPr>
          <w:p w:rsidR="005159E5" w:rsidRDefault="005159E5" w:rsidP="0021637A">
            <w:pPr>
              <w:pStyle w:val="Bezodstpw"/>
              <w:jc w:val="center"/>
            </w:pPr>
            <w:r>
              <w:t>2 416,93 pkt.</w:t>
            </w:r>
          </w:p>
        </w:tc>
        <w:tc>
          <w:tcPr>
            <w:tcW w:w="1134" w:type="dxa"/>
          </w:tcPr>
          <w:p w:rsidR="005159E5" w:rsidRDefault="005159E5" w:rsidP="0021637A">
            <w:pPr>
              <w:pStyle w:val="Bezodstpw"/>
              <w:jc w:val="center"/>
            </w:pPr>
            <w:r>
              <w:t>-2,9 %</w:t>
            </w:r>
          </w:p>
        </w:tc>
      </w:tr>
    </w:tbl>
    <w:p w:rsidR="005159E5" w:rsidRDefault="005159E5" w:rsidP="005159E5">
      <w:pPr>
        <w:pStyle w:val="Bezodstpw"/>
        <w:jc w:val="both"/>
      </w:pPr>
    </w:p>
    <w:p w:rsidR="005159E5" w:rsidRDefault="005159E5" w:rsidP="005159E5">
      <w:pPr>
        <w:pStyle w:val="Bezodstpw"/>
        <w:jc w:val="both"/>
      </w:pPr>
    </w:p>
    <w:p w:rsidR="005159E5" w:rsidRDefault="005159E5" w:rsidP="005159E5">
      <w:pPr>
        <w:pStyle w:val="Bezodstpw"/>
        <w:jc w:val="both"/>
      </w:pPr>
      <w:r>
        <w:t xml:space="preserve">Tabela: Procentowa zmiana cen akcji trzech spółek, których akcje zostały wymienione w czwartym numerze ,,Raportu Tygodniowego” z 29 września 2014 roku w rubryce ,,Wykres do przemyślenia” w okresie od 26 września do 28 listopada 2014 roku oraz procentowa zmiana indeksu WIG 20 w tym okresie. </w:t>
      </w:r>
    </w:p>
    <w:tbl>
      <w:tblPr>
        <w:tblStyle w:val="Tabela-Siatka"/>
        <w:tblW w:w="0" w:type="auto"/>
        <w:tblLook w:val="04A0"/>
      </w:tblPr>
      <w:tblGrid>
        <w:gridCol w:w="3402"/>
        <w:gridCol w:w="2302"/>
        <w:gridCol w:w="2303"/>
        <w:gridCol w:w="1134"/>
      </w:tblGrid>
      <w:tr w:rsidR="005159E5" w:rsidTr="0021637A">
        <w:tc>
          <w:tcPr>
            <w:tcW w:w="3402" w:type="dxa"/>
          </w:tcPr>
          <w:p w:rsidR="005159E5" w:rsidRDefault="005159E5" w:rsidP="0021637A">
            <w:pPr>
              <w:pStyle w:val="Bezodstpw"/>
              <w:jc w:val="center"/>
            </w:pPr>
            <w:r>
              <w:t>Instrument finansowy</w:t>
            </w:r>
          </w:p>
        </w:tc>
        <w:tc>
          <w:tcPr>
            <w:tcW w:w="2302" w:type="dxa"/>
          </w:tcPr>
          <w:p w:rsidR="005159E5" w:rsidRDefault="005159E5" w:rsidP="0021637A">
            <w:pPr>
              <w:pStyle w:val="Bezodstpw"/>
              <w:jc w:val="center"/>
            </w:pPr>
            <w:r>
              <w:t>Poziom – 26.09.2014</w:t>
            </w:r>
          </w:p>
        </w:tc>
        <w:tc>
          <w:tcPr>
            <w:tcW w:w="2303" w:type="dxa"/>
          </w:tcPr>
          <w:p w:rsidR="005159E5" w:rsidRDefault="005159E5" w:rsidP="0021637A">
            <w:pPr>
              <w:pStyle w:val="Bezodstpw"/>
              <w:jc w:val="center"/>
            </w:pPr>
            <w:r>
              <w:t>Poziom – 28.11.2014</w:t>
            </w:r>
          </w:p>
        </w:tc>
        <w:tc>
          <w:tcPr>
            <w:tcW w:w="1134" w:type="dxa"/>
          </w:tcPr>
          <w:p w:rsidR="005159E5" w:rsidRDefault="005159E5" w:rsidP="0021637A">
            <w:pPr>
              <w:pStyle w:val="Bezodstpw"/>
              <w:jc w:val="center"/>
            </w:pPr>
            <w:r>
              <w:t>Zmiana (w %)</w:t>
            </w:r>
          </w:p>
        </w:tc>
      </w:tr>
      <w:tr w:rsidR="005159E5" w:rsidTr="0021637A">
        <w:tc>
          <w:tcPr>
            <w:tcW w:w="3402" w:type="dxa"/>
          </w:tcPr>
          <w:p w:rsidR="005159E5" w:rsidRDefault="005159E5" w:rsidP="0021637A">
            <w:pPr>
              <w:pStyle w:val="Bezodstpw"/>
              <w:jc w:val="center"/>
            </w:pPr>
            <w:r>
              <w:t xml:space="preserve">Akcja spółki </w:t>
            </w:r>
            <w:proofErr w:type="spellStart"/>
            <w:r>
              <w:t>Asseco</w:t>
            </w:r>
            <w:proofErr w:type="spellEnd"/>
            <w:r>
              <w:t xml:space="preserve"> Poland </w:t>
            </w:r>
          </w:p>
        </w:tc>
        <w:tc>
          <w:tcPr>
            <w:tcW w:w="2302" w:type="dxa"/>
          </w:tcPr>
          <w:p w:rsidR="005159E5" w:rsidRDefault="005159E5" w:rsidP="0021637A">
            <w:pPr>
              <w:pStyle w:val="Bezodstpw"/>
              <w:jc w:val="center"/>
            </w:pPr>
            <w:r>
              <w:t xml:space="preserve">45,64 zł. </w:t>
            </w:r>
          </w:p>
        </w:tc>
        <w:tc>
          <w:tcPr>
            <w:tcW w:w="2303" w:type="dxa"/>
          </w:tcPr>
          <w:p w:rsidR="005159E5" w:rsidRDefault="005159E5" w:rsidP="0021637A">
            <w:pPr>
              <w:pStyle w:val="Bezodstpw"/>
              <w:jc w:val="center"/>
            </w:pPr>
            <w:r>
              <w:t>53,80 zł.</w:t>
            </w:r>
          </w:p>
        </w:tc>
        <w:tc>
          <w:tcPr>
            <w:tcW w:w="1134" w:type="dxa"/>
          </w:tcPr>
          <w:p w:rsidR="005159E5" w:rsidRDefault="005159E5" w:rsidP="0021637A">
            <w:pPr>
              <w:pStyle w:val="Bezodstpw"/>
              <w:jc w:val="center"/>
            </w:pPr>
            <w:r>
              <w:t xml:space="preserve"> + 17,9 %</w:t>
            </w:r>
          </w:p>
        </w:tc>
      </w:tr>
      <w:tr w:rsidR="005159E5" w:rsidTr="0021637A">
        <w:tc>
          <w:tcPr>
            <w:tcW w:w="3402" w:type="dxa"/>
          </w:tcPr>
          <w:p w:rsidR="005159E5" w:rsidRDefault="005159E5" w:rsidP="0021637A">
            <w:pPr>
              <w:pStyle w:val="Bezodstpw"/>
              <w:jc w:val="center"/>
            </w:pPr>
            <w:r>
              <w:t>Akcja spółki  CD Projekt</w:t>
            </w:r>
          </w:p>
        </w:tc>
        <w:tc>
          <w:tcPr>
            <w:tcW w:w="2302" w:type="dxa"/>
          </w:tcPr>
          <w:p w:rsidR="005159E5" w:rsidRDefault="005159E5" w:rsidP="0021637A">
            <w:pPr>
              <w:pStyle w:val="Bezodstpw"/>
              <w:jc w:val="center"/>
            </w:pPr>
            <w:r>
              <w:t xml:space="preserve">16,59 zł. </w:t>
            </w:r>
          </w:p>
        </w:tc>
        <w:tc>
          <w:tcPr>
            <w:tcW w:w="2303" w:type="dxa"/>
          </w:tcPr>
          <w:p w:rsidR="005159E5" w:rsidRDefault="005159E5" w:rsidP="0021637A">
            <w:pPr>
              <w:pStyle w:val="Bezodstpw"/>
              <w:jc w:val="center"/>
            </w:pPr>
            <w:r>
              <w:t>17,53 zł.</w:t>
            </w:r>
          </w:p>
        </w:tc>
        <w:tc>
          <w:tcPr>
            <w:tcW w:w="1134" w:type="dxa"/>
          </w:tcPr>
          <w:p w:rsidR="005159E5" w:rsidRDefault="005159E5" w:rsidP="0021637A">
            <w:pPr>
              <w:pStyle w:val="Bezodstpw"/>
              <w:jc w:val="center"/>
            </w:pPr>
            <w:r>
              <w:t>+5,7 %</w:t>
            </w:r>
          </w:p>
        </w:tc>
      </w:tr>
      <w:tr w:rsidR="005159E5" w:rsidTr="0021637A">
        <w:tc>
          <w:tcPr>
            <w:tcW w:w="3402" w:type="dxa"/>
          </w:tcPr>
          <w:p w:rsidR="005159E5" w:rsidRDefault="005159E5" w:rsidP="0021637A">
            <w:pPr>
              <w:pStyle w:val="Bezodstpw"/>
              <w:jc w:val="center"/>
            </w:pPr>
            <w:r>
              <w:t xml:space="preserve">Akcja spółki </w:t>
            </w:r>
            <w:proofErr w:type="spellStart"/>
            <w:r>
              <w:t>Sygnity</w:t>
            </w:r>
            <w:proofErr w:type="spellEnd"/>
            <w:r>
              <w:t xml:space="preserve"> </w:t>
            </w:r>
          </w:p>
        </w:tc>
        <w:tc>
          <w:tcPr>
            <w:tcW w:w="2302" w:type="dxa"/>
            <w:tcBorders>
              <w:bottom w:val="single" w:sz="4" w:space="0" w:color="auto"/>
            </w:tcBorders>
          </w:tcPr>
          <w:p w:rsidR="005159E5" w:rsidRDefault="005159E5" w:rsidP="0021637A">
            <w:pPr>
              <w:pStyle w:val="Bezodstpw"/>
              <w:jc w:val="center"/>
            </w:pPr>
            <w:r>
              <w:t>17,60 zł.</w:t>
            </w:r>
          </w:p>
        </w:tc>
        <w:tc>
          <w:tcPr>
            <w:tcW w:w="2303" w:type="dxa"/>
            <w:tcBorders>
              <w:bottom w:val="single" w:sz="4" w:space="0" w:color="auto"/>
            </w:tcBorders>
          </w:tcPr>
          <w:p w:rsidR="005159E5" w:rsidRDefault="005159E5" w:rsidP="0021637A">
            <w:pPr>
              <w:pStyle w:val="Bezodstpw"/>
              <w:jc w:val="center"/>
            </w:pPr>
            <w:r>
              <w:t>16,41 zł.</w:t>
            </w:r>
          </w:p>
        </w:tc>
        <w:tc>
          <w:tcPr>
            <w:tcW w:w="1134" w:type="dxa"/>
          </w:tcPr>
          <w:p w:rsidR="005159E5" w:rsidRDefault="005159E5" w:rsidP="0021637A">
            <w:pPr>
              <w:pStyle w:val="Bezodstpw"/>
              <w:jc w:val="center"/>
            </w:pPr>
            <w:r>
              <w:t>- 6,8 %</w:t>
            </w:r>
          </w:p>
        </w:tc>
      </w:tr>
      <w:tr w:rsidR="005159E5" w:rsidTr="0021637A">
        <w:tc>
          <w:tcPr>
            <w:tcW w:w="3402" w:type="dxa"/>
          </w:tcPr>
          <w:p w:rsidR="005159E5" w:rsidRPr="008F668F" w:rsidRDefault="005159E5" w:rsidP="0021637A">
            <w:pPr>
              <w:pStyle w:val="Bezodstpw"/>
              <w:jc w:val="center"/>
              <w:rPr>
                <w:b/>
                <w:color w:val="FF0000"/>
              </w:rPr>
            </w:pPr>
            <w:r w:rsidRPr="008F668F">
              <w:rPr>
                <w:b/>
                <w:color w:val="FF0000"/>
              </w:rPr>
              <w:t>Średnio</w:t>
            </w:r>
          </w:p>
        </w:tc>
        <w:tc>
          <w:tcPr>
            <w:tcW w:w="2302" w:type="dxa"/>
            <w:tcBorders>
              <w:right w:val="nil"/>
            </w:tcBorders>
          </w:tcPr>
          <w:p w:rsidR="005159E5" w:rsidRPr="008F668F" w:rsidRDefault="005159E5" w:rsidP="0021637A">
            <w:pPr>
              <w:pStyle w:val="Bezodstpw"/>
              <w:jc w:val="center"/>
              <w:rPr>
                <w:b/>
                <w:color w:val="FF0000"/>
              </w:rPr>
            </w:pPr>
          </w:p>
        </w:tc>
        <w:tc>
          <w:tcPr>
            <w:tcW w:w="2303" w:type="dxa"/>
            <w:tcBorders>
              <w:left w:val="nil"/>
            </w:tcBorders>
          </w:tcPr>
          <w:p w:rsidR="005159E5" w:rsidRPr="008F668F" w:rsidRDefault="005159E5" w:rsidP="0021637A">
            <w:pPr>
              <w:pStyle w:val="Bezodstpw"/>
              <w:jc w:val="center"/>
              <w:rPr>
                <w:b/>
                <w:color w:val="FF0000"/>
              </w:rPr>
            </w:pPr>
          </w:p>
        </w:tc>
        <w:tc>
          <w:tcPr>
            <w:tcW w:w="1134" w:type="dxa"/>
          </w:tcPr>
          <w:p w:rsidR="005159E5" w:rsidRPr="008F668F" w:rsidRDefault="005159E5" w:rsidP="0021637A">
            <w:pPr>
              <w:pStyle w:val="Bezodstpw"/>
              <w:jc w:val="center"/>
              <w:rPr>
                <w:b/>
                <w:color w:val="FF0000"/>
              </w:rPr>
            </w:pPr>
            <w:r>
              <w:rPr>
                <w:b/>
                <w:color w:val="FF0000"/>
              </w:rPr>
              <w:t xml:space="preserve"> +5,6 %</w:t>
            </w:r>
          </w:p>
        </w:tc>
      </w:tr>
      <w:tr w:rsidR="005159E5" w:rsidTr="0021637A">
        <w:tc>
          <w:tcPr>
            <w:tcW w:w="3402" w:type="dxa"/>
          </w:tcPr>
          <w:p w:rsidR="005159E5" w:rsidRDefault="005159E5" w:rsidP="0021637A">
            <w:pPr>
              <w:pStyle w:val="Bezodstpw"/>
              <w:jc w:val="center"/>
            </w:pPr>
            <w:r>
              <w:t>WIG 20</w:t>
            </w:r>
          </w:p>
        </w:tc>
        <w:tc>
          <w:tcPr>
            <w:tcW w:w="2302" w:type="dxa"/>
          </w:tcPr>
          <w:p w:rsidR="005159E5" w:rsidRDefault="005159E5" w:rsidP="0021637A">
            <w:pPr>
              <w:pStyle w:val="Bezodstpw"/>
              <w:jc w:val="center"/>
            </w:pPr>
            <w:r>
              <w:t xml:space="preserve">2484,02 pkt. </w:t>
            </w:r>
          </w:p>
        </w:tc>
        <w:tc>
          <w:tcPr>
            <w:tcW w:w="2303" w:type="dxa"/>
          </w:tcPr>
          <w:p w:rsidR="005159E5" w:rsidRDefault="005159E5" w:rsidP="0021637A">
            <w:pPr>
              <w:pStyle w:val="Bezodstpw"/>
              <w:jc w:val="center"/>
            </w:pPr>
            <w:r>
              <w:t>2 416,93 pkt.</w:t>
            </w:r>
          </w:p>
        </w:tc>
        <w:tc>
          <w:tcPr>
            <w:tcW w:w="1134" w:type="dxa"/>
          </w:tcPr>
          <w:p w:rsidR="005159E5" w:rsidRDefault="005159E5" w:rsidP="0021637A">
            <w:pPr>
              <w:pStyle w:val="Bezodstpw"/>
              <w:jc w:val="center"/>
            </w:pPr>
            <w:r>
              <w:t xml:space="preserve">  -2,7 %</w:t>
            </w:r>
          </w:p>
        </w:tc>
      </w:tr>
    </w:tbl>
    <w:p w:rsidR="005159E5" w:rsidRDefault="005159E5" w:rsidP="005159E5">
      <w:pPr>
        <w:pStyle w:val="Bezodstpw"/>
        <w:jc w:val="both"/>
      </w:pPr>
    </w:p>
    <w:p w:rsidR="005159E5" w:rsidRDefault="005159E5" w:rsidP="005159E5">
      <w:pPr>
        <w:pStyle w:val="Bezodstpw"/>
        <w:jc w:val="both"/>
      </w:pPr>
      <w:r>
        <w:lastRenderedPageBreak/>
        <w:t xml:space="preserve">Tabela: Procentowa zmiana ceny akcji spółki, której akcje zostały wymienione w piątym numerze ,,Raportu Tygodniowego” z 6 października 2014 roku w rubryce ,,Wykres do przemyślenia” w okresie od 3 października do 28 listopada 2014 roku oraz procentowa zmiana indeksu WIG 20 w tym okresie. </w:t>
      </w:r>
    </w:p>
    <w:p w:rsidR="005159E5" w:rsidRDefault="005159E5" w:rsidP="005159E5">
      <w:pPr>
        <w:pStyle w:val="Bezodstpw"/>
        <w:jc w:val="both"/>
      </w:pPr>
    </w:p>
    <w:tbl>
      <w:tblPr>
        <w:tblStyle w:val="Tabela-Siatka"/>
        <w:tblW w:w="0" w:type="auto"/>
        <w:tblLook w:val="04A0"/>
      </w:tblPr>
      <w:tblGrid>
        <w:gridCol w:w="3402"/>
        <w:gridCol w:w="2302"/>
        <w:gridCol w:w="2303"/>
        <w:gridCol w:w="1134"/>
      </w:tblGrid>
      <w:tr w:rsidR="005159E5" w:rsidTr="0021637A">
        <w:tc>
          <w:tcPr>
            <w:tcW w:w="3402" w:type="dxa"/>
          </w:tcPr>
          <w:p w:rsidR="005159E5" w:rsidRDefault="005159E5" w:rsidP="0021637A">
            <w:pPr>
              <w:pStyle w:val="Bezodstpw"/>
              <w:jc w:val="center"/>
            </w:pPr>
            <w:r>
              <w:t>Instrument finansowy</w:t>
            </w:r>
          </w:p>
        </w:tc>
        <w:tc>
          <w:tcPr>
            <w:tcW w:w="2302" w:type="dxa"/>
          </w:tcPr>
          <w:p w:rsidR="005159E5" w:rsidRDefault="005159E5" w:rsidP="0021637A">
            <w:pPr>
              <w:pStyle w:val="Bezodstpw"/>
              <w:jc w:val="center"/>
            </w:pPr>
            <w:r>
              <w:t>Poziom – 03.10.2014</w:t>
            </w:r>
          </w:p>
        </w:tc>
        <w:tc>
          <w:tcPr>
            <w:tcW w:w="2303" w:type="dxa"/>
          </w:tcPr>
          <w:p w:rsidR="005159E5" w:rsidRDefault="005159E5" w:rsidP="0021637A">
            <w:pPr>
              <w:pStyle w:val="Bezodstpw"/>
              <w:jc w:val="center"/>
            </w:pPr>
            <w:r>
              <w:t>Poziom – 28.11.2014</w:t>
            </w:r>
          </w:p>
        </w:tc>
        <w:tc>
          <w:tcPr>
            <w:tcW w:w="1134" w:type="dxa"/>
          </w:tcPr>
          <w:p w:rsidR="005159E5" w:rsidRDefault="005159E5" w:rsidP="0021637A">
            <w:pPr>
              <w:pStyle w:val="Bezodstpw"/>
              <w:jc w:val="center"/>
            </w:pPr>
            <w:r>
              <w:t>Zmiana (w %)</w:t>
            </w:r>
          </w:p>
        </w:tc>
      </w:tr>
      <w:tr w:rsidR="005159E5" w:rsidTr="0021637A">
        <w:tc>
          <w:tcPr>
            <w:tcW w:w="3402" w:type="dxa"/>
          </w:tcPr>
          <w:p w:rsidR="005159E5" w:rsidRDefault="005159E5" w:rsidP="0021637A">
            <w:pPr>
              <w:pStyle w:val="Bezodstpw"/>
              <w:jc w:val="center"/>
            </w:pPr>
            <w:r>
              <w:t>Akcja spółki Stalprodukt</w:t>
            </w:r>
          </w:p>
        </w:tc>
        <w:tc>
          <w:tcPr>
            <w:tcW w:w="2302" w:type="dxa"/>
          </w:tcPr>
          <w:p w:rsidR="005159E5" w:rsidRDefault="005159E5" w:rsidP="0021637A">
            <w:pPr>
              <w:pStyle w:val="Bezodstpw"/>
              <w:jc w:val="center"/>
            </w:pPr>
            <w:r>
              <w:t>244,10 zł.</w:t>
            </w:r>
          </w:p>
        </w:tc>
        <w:tc>
          <w:tcPr>
            <w:tcW w:w="2303" w:type="dxa"/>
          </w:tcPr>
          <w:p w:rsidR="005159E5" w:rsidRDefault="005159E5" w:rsidP="0021637A">
            <w:pPr>
              <w:pStyle w:val="Bezodstpw"/>
              <w:jc w:val="center"/>
            </w:pPr>
            <w:r>
              <w:t>363,00 zł.</w:t>
            </w:r>
          </w:p>
        </w:tc>
        <w:tc>
          <w:tcPr>
            <w:tcW w:w="1134" w:type="dxa"/>
          </w:tcPr>
          <w:p w:rsidR="005159E5" w:rsidRDefault="005159E5" w:rsidP="0021637A">
            <w:pPr>
              <w:pStyle w:val="Bezodstpw"/>
              <w:jc w:val="center"/>
            </w:pPr>
            <w:r>
              <w:t>+48,7 %</w:t>
            </w:r>
          </w:p>
        </w:tc>
      </w:tr>
      <w:tr w:rsidR="005159E5" w:rsidRPr="008F668F" w:rsidTr="0021637A">
        <w:tc>
          <w:tcPr>
            <w:tcW w:w="3402" w:type="dxa"/>
          </w:tcPr>
          <w:p w:rsidR="005159E5" w:rsidRPr="008F668F" w:rsidRDefault="005159E5" w:rsidP="0021637A">
            <w:pPr>
              <w:pStyle w:val="Bezodstpw"/>
              <w:jc w:val="center"/>
              <w:rPr>
                <w:b/>
                <w:color w:val="FF0000"/>
              </w:rPr>
            </w:pPr>
            <w:r w:rsidRPr="008F668F">
              <w:rPr>
                <w:b/>
                <w:color w:val="FF0000"/>
              </w:rPr>
              <w:t>Średnio</w:t>
            </w:r>
          </w:p>
        </w:tc>
        <w:tc>
          <w:tcPr>
            <w:tcW w:w="2302" w:type="dxa"/>
            <w:tcBorders>
              <w:right w:val="nil"/>
            </w:tcBorders>
          </w:tcPr>
          <w:p w:rsidR="005159E5" w:rsidRPr="008F668F" w:rsidRDefault="005159E5" w:rsidP="0021637A">
            <w:pPr>
              <w:pStyle w:val="Bezodstpw"/>
              <w:jc w:val="center"/>
              <w:rPr>
                <w:b/>
                <w:color w:val="FF0000"/>
              </w:rPr>
            </w:pPr>
          </w:p>
        </w:tc>
        <w:tc>
          <w:tcPr>
            <w:tcW w:w="2303" w:type="dxa"/>
            <w:tcBorders>
              <w:left w:val="nil"/>
            </w:tcBorders>
          </w:tcPr>
          <w:p w:rsidR="005159E5" w:rsidRPr="008F668F" w:rsidRDefault="005159E5" w:rsidP="0021637A">
            <w:pPr>
              <w:pStyle w:val="Bezodstpw"/>
              <w:jc w:val="center"/>
              <w:rPr>
                <w:b/>
                <w:color w:val="FF0000"/>
              </w:rPr>
            </w:pPr>
          </w:p>
        </w:tc>
        <w:tc>
          <w:tcPr>
            <w:tcW w:w="1134" w:type="dxa"/>
          </w:tcPr>
          <w:p w:rsidR="005159E5" w:rsidRPr="008F668F" w:rsidRDefault="005159E5" w:rsidP="0021637A">
            <w:pPr>
              <w:pStyle w:val="Bezodstpw"/>
              <w:jc w:val="center"/>
              <w:rPr>
                <w:b/>
                <w:color w:val="FF0000"/>
              </w:rPr>
            </w:pPr>
            <w:r>
              <w:rPr>
                <w:b/>
                <w:color w:val="FF0000"/>
              </w:rPr>
              <w:t>+48,7 %</w:t>
            </w:r>
          </w:p>
        </w:tc>
      </w:tr>
      <w:tr w:rsidR="005159E5" w:rsidTr="0021637A">
        <w:tc>
          <w:tcPr>
            <w:tcW w:w="3402" w:type="dxa"/>
          </w:tcPr>
          <w:p w:rsidR="005159E5" w:rsidRDefault="005159E5" w:rsidP="0021637A">
            <w:pPr>
              <w:pStyle w:val="Bezodstpw"/>
              <w:jc w:val="center"/>
            </w:pPr>
            <w:r>
              <w:t>WIG 20</w:t>
            </w:r>
          </w:p>
        </w:tc>
        <w:tc>
          <w:tcPr>
            <w:tcW w:w="2302" w:type="dxa"/>
          </w:tcPr>
          <w:p w:rsidR="005159E5" w:rsidRDefault="005159E5" w:rsidP="0021637A">
            <w:pPr>
              <w:pStyle w:val="Bezodstpw"/>
              <w:jc w:val="center"/>
            </w:pPr>
            <w:r>
              <w:t xml:space="preserve">2 444,06 pkt. </w:t>
            </w:r>
          </w:p>
        </w:tc>
        <w:tc>
          <w:tcPr>
            <w:tcW w:w="2303" w:type="dxa"/>
          </w:tcPr>
          <w:p w:rsidR="005159E5" w:rsidRDefault="005159E5" w:rsidP="0021637A">
            <w:pPr>
              <w:pStyle w:val="Bezodstpw"/>
              <w:jc w:val="center"/>
            </w:pPr>
            <w:r>
              <w:t>2 416,93 pkt.</w:t>
            </w:r>
          </w:p>
        </w:tc>
        <w:tc>
          <w:tcPr>
            <w:tcW w:w="1134" w:type="dxa"/>
          </w:tcPr>
          <w:p w:rsidR="005159E5" w:rsidRDefault="005159E5" w:rsidP="0021637A">
            <w:pPr>
              <w:pStyle w:val="Bezodstpw"/>
              <w:jc w:val="center"/>
            </w:pPr>
            <w:r>
              <w:t xml:space="preserve">  -1,1 %</w:t>
            </w:r>
          </w:p>
        </w:tc>
      </w:tr>
    </w:tbl>
    <w:p w:rsidR="005159E5" w:rsidRDefault="005159E5" w:rsidP="005159E5">
      <w:pPr>
        <w:pStyle w:val="Bezodstpw"/>
        <w:jc w:val="both"/>
        <w:rPr>
          <w:b/>
          <w:color w:val="FF0000"/>
        </w:rPr>
      </w:pPr>
    </w:p>
    <w:p w:rsidR="005159E5" w:rsidRDefault="005159E5" w:rsidP="005159E5">
      <w:pPr>
        <w:pStyle w:val="Bezodstpw"/>
        <w:jc w:val="both"/>
      </w:pPr>
      <w:r>
        <w:t xml:space="preserve">Tabela: Procentowa zmiana ceny akcji spółki, której akcje zostały wymienione w szóstym numerze ,,Raportu Tygodniowego” z 20 października 2014 roku w rubryce ,,Wykres do przemyślenia” w okresie od 17 września do 28 listopada 2014 roku oraz procentowa zmiana indeksu WIG 20 w tym okresie. </w:t>
      </w:r>
    </w:p>
    <w:tbl>
      <w:tblPr>
        <w:tblStyle w:val="Tabela-Siatka"/>
        <w:tblW w:w="0" w:type="auto"/>
        <w:tblLook w:val="04A0"/>
      </w:tblPr>
      <w:tblGrid>
        <w:gridCol w:w="3402"/>
        <w:gridCol w:w="2302"/>
        <w:gridCol w:w="2303"/>
        <w:gridCol w:w="1134"/>
      </w:tblGrid>
      <w:tr w:rsidR="005159E5" w:rsidTr="0021637A">
        <w:tc>
          <w:tcPr>
            <w:tcW w:w="3402" w:type="dxa"/>
          </w:tcPr>
          <w:p w:rsidR="005159E5" w:rsidRDefault="005159E5" w:rsidP="0021637A">
            <w:pPr>
              <w:pStyle w:val="Bezodstpw"/>
              <w:jc w:val="center"/>
            </w:pPr>
            <w:r>
              <w:t>Instrument finansowy</w:t>
            </w:r>
          </w:p>
        </w:tc>
        <w:tc>
          <w:tcPr>
            <w:tcW w:w="2302" w:type="dxa"/>
          </w:tcPr>
          <w:p w:rsidR="005159E5" w:rsidRDefault="005159E5" w:rsidP="0021637A">
            <w:pPr>
              <w:pStyle w:val="Bezodstpw"/>
              <w:jc w:val="center"/>
            </w:pPr>
            <w:r>
              <w:t>Poziom – 17.10.2014</w:t>
            </w:r>
          </w:p>
        </w:tc>
        <w:tc>
          <w:tcPr>
            <w:tcW w:w="2303" w:type="dxa"/>
          </w:tcPr>
          <w:p w:rsidR="005159E5" w:rsidRDefault="005159E5" w:rsidP="0021637A">
            <w:pPr>
              <w:pStyle w:val="Bezodstpw"/>
              <w:jc w:val="center"/>
            </w:pPr>
            <w:r>
              <w:t>Poziom – 28.11.2014</w:t>
            </w:r>
          </w:p>
        </w:tc>
        <w:tc>
          <w:tcPr>
            <w:tcW w:w="1134" w:type="dxa"/>
          </w:tcPr>
          <w:p w:rsidR="005159E5" w:rsidRDefault="005159E5" w:rsidP="0021637A">
            <w:pPr>
              <w:pStyle w:val="Bezodstpw"/>
              <w:jc w:val="center"/>
            </w:pPr>
            <w:r>
              <w:t>Zmiana (w %)</w:t>
            </w:r>
          </w:p>
        </w:tc>
      </w:tr>
      <w:tr w:rsidR="005159E5" w:rsidTr="0021637A">
        <w:tc>
          <w:tcPr>
            <w:tcW w:w="3402" w:type="dxa"/>
          </w:tcPr>
          <w:p w:rsidR="005159E5" w:rsidRDefault="005159E5" w:rsidP="0021637A">
            <w:pPr>
              <w:pStyle w:val="Bezodstpw"/>
              <w:jc w:val="center"/>
            </w:pPr>
            <w:r>
              <w:t xml:space="preserve">Akcja spółki </w:t>
            </w:r>
            <w:proofErr w:type="spellStart"/>
            <w:r>
              <w:t>Tauron</w:t>
            </w:r>
            <w:proofErr w:type="spellEnd"/>
            <w:r>
              <w:t xml:space="preserve"> Polska Energia</w:t>
            </w:r>
          </w:p>
        </w:tc>
        <w:tc>
          <w:tcPr>
            <w:tcW w:w="2302" w:type="dxa"/>
          </w:tcPr>
          <w:p w:rsidR="005159E5" w:rsidRDefault="005159E5" w:rsidP="0021637A">
            <w:pPr>
              <w:pStyle w:val="Bezodstpw"/>
              <w:jc w:val="center"/>
            </w:pPr>
            <w:r>
              <w:t>5,21 zł.</w:t>
            </w:r>
          </w:p>
        </w:tc>
        <w:tc>
          <w:tcPr>
            <w:tcW w:w="2303" w:type="dxa"/>
          </w:tcPr>
          <w:p w:rsidR="005159E5" w:rsidRDefault="005159E5" w:rsidP="0021637A">
            <w:pPr>
              <w:pStyle w:val="Bezodstpw"/>
              <w:jc w:val="center"/>
            </w:pPr>
            <w:r>
              <w:t xml:space="preserve">5,18 zł. </w:t>
            </w:r>
          </w:p>
        </w:tc>
        <w:tc>
          <w:tcPr>
            <w:tcW w:w="1134" w:type="dxa"/>
          </w:tcPr>
          <w:p w:rsidR="005159E5" w:rsidRDefault="005159E5" w:rsidP="0021637A">
            <w:pPr>
              <w:pStyle w:val="Bezodstpw"/>
              <w:jc w:val="center"/>
            </w:pPr>
            <w:r>
              <w:t xml:space="preserve">  -0,6 %</w:t>
            </w:r>
          </w:p>
        </w:tc>
      </w:tr>
      <w:tr w:rsidR="005159E5" w:rsidRPr="008F668F" w:rsidTr="0021637A">
        <w:tc>
          <w:tcPr>
            <w:tcW w:w="3402" w:type="dxa"/>
          </w:tcPr>
          <w:p w:rsidR="005159E5" w:rsidRPr="008F668F" w:rsidRDefault="005159E5" w:rsidP="0021637A">
            <w:pPr>
              <w:pStyle w:val="Bezodstpw"/>
              <w:jc w:val="center"/>
              <w:rPr>
                <w:b/>
                <w:color w:val="FF0000"/>
              </w:rPr>
            </w:pPr>
            <w:r w:rsidRPr="008F668F">
              <w:rPr>
                <w:b/>
                <w:color w:val="FF0000"/>
              </w:rPr>
              <w:t>Średnio</w:t>
            </w:r>
          </w:p>
        </w:tc>
        <w:tc>
          <w:tcPr>
            <w:tcW w:w="2302" w:type="dxa"/>
            <w:tcBorders>
              <w:right w:val="nil"/>
            </w:tcBorders>
          </w:tcPr>
          <w:p w:rsidR="005159E5" w:rsidRPr="008F668F" w:rsidRDefault="005159E5" w:rsidP="0021637A">
            <w:pPr>
              <w:pStyle w:val="Bezodstpw"/>
              <w:jc w:val="center"/>
              <w:rPr>
                <w:b/>
                <w:color w:val="FF0000"/>
              </w:rPr>
            </w:pPr>
          </w:p>
        </w:tc>
        <w:tc>
          <w:tcPr>
            <w:tcW w:w="2303" w:type="dxa"/>
            <w:tcBorders>
              <w:left w:val="nil"/>
            </w:tcBorders>
          </w:tcPr>
          <w:p w:rsidR="005159E5" w:rsidRPr="008F668F" w:rsidRDefault="005159E5" w:rsidP="0021637A">
            <w:pPr>
              <w:pStyle w:val="Bezodstpw"/>
              <w:jc w:val="center"/>
              <w:rPr>
                <w:b/>
                <w:color w:val="FF0000"/>
              </w:rPr>
            </w:pPr>
          </w:p>
        </w:tc>
        <w:tc>
          <w:tcPr>
            <w:tcW w:w="1134" w:type="dxa"/>
          </w:tcPr>
          <w:p w:rsidR="005159E5" w:rsidRPr="008F668F" w:rsidRDefault="005159E5" w:rsidP="0021637A">
            <w:pPr>
              <w:pStyle w:val="Bezodstpw"/>
              <w:jc w:val="center"/>
              <w:rPr>
                <w:b/>
                <w:color w:val="FF0000"/>
              </w:rPr>
            </w:pPr>
            <w:r>
              <w:rPr>
                <w:b/>
                <w:color w:val="FF0000"/>
              </w:rPr>
              <w:t xml:space="preserve">  -0,6 %</w:t>
            </w:r>
          </w:p>
        </w:tc>
      </w:tr>
      <w:tr w:rsidR="005159E5" w:rsidTr="0021637A">
        <w:tc>
          <w:tcPr>
            <w:tcW w:w="3402" w:type="dxa"/>
          </w:tcPr>
          <w:p w:rsidR="005159E5" w:rsidRDefault="005159E5" w:rsidP="0021637A">
            <w:pPr>
              <w:pStyle w:val="Bezodstpw"/>
              <w:jc w:val="center"/>
            </w:pPr>
            <w:r>
              <w:t>WIG 20</w:t>
            </w:r>
          </w:p>
        </w:tc>
        <w:tc>
          <w:tcPr>
            <w:tcW w:w="2302" w:type="dxa"/>
          </w:tcPr>
          <w:p w:rsidR="005159E5" w:rsidRDefault="005159E5" w:rsidP="0021637A">
            <w:pPr>
              <w:pStyle w:val="Bezodstpw"/>
              <w:jc w:val="center"/>
            </w:pPr>
            <w:r>
              <w:t xml:space="preserve">2 401,13 pkt. </w:t>
            </w:r>
          </w:p>
        </w:tc>
        <w:tc>
          <w:tcPr>
            <w:tcW w:w="2303" w:type="dxa"/>
          </w:tcPr>
          <w:p w:rsidR="005159E5" w:rsidRDefault="005159E5" w:rsidP="0021637A">
            <w:pPr>
              <w:pStyle w:val="Bezodstpw"/>
              <w:jc w:val="center"/>
            </w:pPr>
            <w:r>
              <w:t>2 416,93 pkt.</w:t>
            </w:r>
          </w:p>
        </w:tc>
        <w:tc>
          <w:tcPr>
            <w:tcW w:w="1134" w:type="dxa"/>
          </w:tcPr>
          <w:p w:rsidR="005159E5" w:rsidRDefault="005159E5" w:rsidP="0021637A">
            <w:pPr>
              <w:pStyle w:val="Bezodstpw"/>
              <w:jc w:val="center"/>
            </w:pPr>
            <w:r>
              <w:t xml:space="preserve">  +0,7 %</w:t>
            </w:r>
          </w:p>
        </w:tc>
      </w:tr>
    </w:tbl>
    <w:p w:rsidR="005159E5" w:rsidRDefault="005159E5" w:rsidP="005159E5">
      <w:pPr>
        <w:pStyle w:val="Bezodstpw"/>
        <w:jc w:val="both"/>
      </w:pPr>
    </w:p>
    <w:p w:rsidR="005159E5" w:rsidRDefault="005159E5" w:rsidP="005159E5">
      <w:pPr>
        <w:pStyle w:val="Bezodstpw"/>
        <w:jc w:val="both"/>
      </w:pPr>
    </w:p>
    <w:p w:rsidR="005159E5" w:rsidRDefault="005159E5" w:rsidP="005159E5">
      <w:pPr>
        <w:pStyle w:val="Bezodstpw"/>
        <w:jc w:val="both"/>
      </w:pPr>
      <w:r>
        <w:t xml:space="preserve">Tabela: Procentowa zmiana ceny akcji spółki, której akcje zostały umieszczone 22 października na stronie internetowej </w:t>
      </w:r>
      <w:hyperlink r:id="rId17" w:history="1">
        <w:r w:rsidRPr="003C5ED1">
          <w:rPr>
            <w:rStyle w:val="Hipercze"/>
          </w:rPr>
          <w:t>www.analizy-rynkowe.pl</w:t>
        </w:r>
      </w:hyperlink>
      <w:r>
        <w:t xml:space="preserve"> w rubryce  ,,Wykres do przemyślenia” w okresie od 21 października do 28 listopada 2014 roku oraz procentowa zmiana indeksu WIG 20 w tym okresie. </w:t>
      </w:r>
    </w:p>
    <w:p w:rsidR="005159E5" w:rsidRDefault="005159E5" w:rsidP="005159E5">
      <w:pPr>
        <w:pStyle w:val="Bezodstpw"/>
        <w:jc w:val="both"/>
      </w:pPr>
    </w:p>
    <w:p w:rsidR="005159E5" w:rsidRDefault="005159E5" w:rsidP="005159E5">
      <w:pPr>
        <w:pStyle w:val="Bezodstpw"/>
        <w:jc w:val="both"/>
      </w:pPr>
    </w:p>
    <w:tbl>
      <w:tblPr>
        <w:tblStyle w:val="Tabela-Siatka"/>
        <w:tblW w:w="0" w:type="auto"/>
        <w:tblLook w:val="04A0"/>
      </w:tblPr>
      <w:tblGrid>
        <w:gridCol w:w="3402"/>
        <w:gridCol w:w="2302"/>
        <w:gridCol w:w="2303"/>
        <w:gridCol w:w="1134"/>
      </w:tblGrid>
      <w:tr w:rsidR="005159E5" w:rsidTr="0021637A">
        <w:tc>
          <w:tcPr>
            <w:tcW w:w="3402" w:type="dxa"/>
          </w:tcPr>
          <w:p w:rsidR="005159E5" w:rsidRDefault="005159E5" w:rsidP="0021637A">
            <w:pPr>
              <w:pStyle w:val="Bezodstpw"/>
              <w:jc w:val="center"/>
            </w:pPr>
            <w:r>
              <w:t>Instrument finansowy</w:t>
            </w:r>
          </w:p>
        </w:tc>
        <w:tc>
          <w:tcPr>
            <w:tcW w:w="2302" w:type="dxa"/>
          </w:tcPr>
          <w:p w:rsidR="005159E5" w:rsidRDefault="005159E5" w:rsidP="0021637A">
            <w:pPr>
              <w:pStyle w:val="Bezodstpw"/>
              <w:jc w:val="center"/>
            </w:pPr>
            <w:r>
              <w:t>Poziom – 21.10.2014</w:t>
            </w:r>
          </w:p>
        </w:tc>
        <w:tc>
          <w:tcPr>
            <w:tcW w:w="2303" w:type="dxa"/>
          </w:tcPr>
          <w:p w:rsidR="005159E5" w:rsidRDefault="005159E5" w:rsidP="0021637A">
            <w:pPr>
              <w:pStyle w:val="Bezodstpw"/>
              <w:jc w:val="center"/>
            </w:pPr>
            <w:r>
              <w:t>Poziom – 28.11.2014</w:t>
            </w:r>
          </w:p>
        </w:tc>
        <w:tc>
          <w:tcPr>
            <w:tcW w:w="1134" w:type="dxa"/>
          </w:tcPr>
          <w:p w:rsidR="005159E5" w:rsidRDefault="005159E5" w:rsidP="0021637A">
            <w:pPr>
              <w:pStyle w:val="Bezodstpw"/>
              <w:jc w:val="center"/>
            </w:pPr>
            <w:r>
              <w:t>Zmiana (w %)</w:t>
            </w:r>
          </w:p>
        </w:tc>
      </w:tr>
      <w:tr w:rsidR="005159E5" w:rsidTr="0021637A">
        <w:tc>
          <w:tcPr>
            <w:tcW w:w="3402" w:type="dxa"/>
          </w:tcPr>
          <w:p w:rsidR="005159E5" w:rsidRDefault="005159E5" w:rsidP="0021637A">
            <w:pPr>
              <w:pStyle w:val="Bezodstpw"/>
              <w:jc w:val="center"/>
            </w:pPr>
            <w:r>
              <w:t xml:space="preserve">Akcja spółki </w:t>
            </w:r>
            <w:proofErr w:type="spellStart"/>
            <w:r>
              <w:t>Elektrotim</w:t>
            </w:r>
            <w:proofErr w:type="spellEnd"/>
            <w:r>
              <w:t xml:space="preserve"> </w:t>
            </w:r>
          </w:p>
        </w:tc>
        <w:tc>
          <w:tcPr>
            <w:tcW w:w="2302" w:type="dxa"/>
            <w:tcBorders>
              <w:bottom w:val="single" w:sz="4" w:space="0" w:color="auto"/>
            </w:tcBorders>
          </w:tcPr>
          <w:p w:rsidR="005159E5" w:rsidRDefault="005159E5" w:rsidP="0021637A">
            <w:pPr>
              <w:pStyle w:val="Bezodstpw"/>
              <w:jc w:val="center"/>
            </w:pPr>
            <w:r>
              <w:t>8,70 zł.</w:t>
            </w:r>
          </w:p>
        </w:tc>
        <w:tc>
          <w:tcPr>
            <w:tcW w:w="2303" w:type="dxa"/>
            <w:tcBorders>
              <w:bottom w:val="single" w:sz="4" w:space="0" w:color="auto"/>
            </w:tcBorders>
          </w:tcPr>
          <w:p w:rsidR="005159E5" w:rsidRDefault="005159E5" w:rsidP="0021637A">
            <w:pPr>
              <w:pStyle w:val="Bezodstpw"/>
              <w:jc w:val="center"/>
            </w:pPr>
            <w:r>
              <w:t>9,70 zł.</w:t>
            </w:r>
          </w:p>
        </w:tc>
        <w:tc>
          <w:tcPr>
            <w:tcW w:w="1134" w:type="dxa"/>
          </w:tcPr>
          <w:p w:rsidR="005159E5" w:rsidRDefault="005159E5" w:rsidP="0021637A">
            <w:pPr>
              <w:pStyle w:val="Bezodstpw"/>
              <w:jc w:val="center"/>
            </w:pPr>
            <w:r>
              <w:t>+ 11,5 %</w:t>
            </w:r>
          </w:p>
        </w:tc>
      </w:tr>
      <w:tr w:rsidR="005159E5" w:rsidRPr="008F668F" w:rsidTr="0021637A">
        <w:tc>
          <w:tcPr>
            <w:tcW w:w="3402" w:type="dxa"/>
          </w:tcPr>
          <w:p w:rsidR="005159E5" w:rsidRPr="008F668F" w:rsidRDefault="005159E5" w:rsidP="0021637A">
            <w:pPr>
              <w:pStyle w:val="Bezodstpw"/>
              <w:jc w:val="center"/>
              <w:rPr>
                <w:b/>
                <w:color w:val="FF0000"/>
              </w:rPr>
            </w:pPr>
            <w:r>
              <w:t>Akcja spółki Relpol</w:t>
            </w:r>
          </w:p>
        </w:tc>
        <w:tc>
          <w:tcPr>
            <w:tcW w:w="2302" w:type="dxa"/>
            <w:tcBorders>
              <w:right w:val="single" w:sz="4" w:space="0" w:color="auto"/>
            </w:tcBorders>
          </w:tcPr>
          <w:p w:rsidR="005159E5" w:rsidRPr="00A556F3" w:rsidRDefault="005159E5" w:rsidP="0021637A">
            <w:pPr>
              <w:pStyle w:val="Bezodstpw"/>
              <w:jc w:val="center"/>
              <w:rPr>
                <w:color w:val="000000" w:themeColor="text1"/>
              </w:rPr>
            </w:pPr>
            <w:r w:rsidRPr="00A556F3">
              <w:rPr>
                <w:color w:val="000000" w:themeColor="text1"/>
              </w:rPr>
              <w:t xml:space="preserve">6,93 zł. </w:t>
            </w:r>
          </w:p>
        </w:tc>
        <w:tc>
          <w:tcPr>
            <w:tcW w:w="2303" w:type="dxa"/>
            <w:tcBorders>
              <w:left w:val="single" w:sz="4" w:space="0" w:color="auto"/>
            </w:tcBorders>
          </w:tcPr>
          <w:p w:rsidR="005159E5" w:rsidRPr="00A556F3" w:rsidRDefault="005159E5" w:rsidP="0021637A">
            <w:pPr>
              <w:pStyle w:val="Bezodstpw"/>
              <w:jc w:val="center"/>
              <w:rPr>
                <w:color w:val="000000" w:themeColor="text1"/>
              </w:rPr>
            </w:pPr>
            <w:r>
              <w:rPr>
                <w:color w:val="000000" w:themeColor="text1"/>
              </w:rPr>
              <w:t xml:space="preserve">6,68 zł. </w:t>
            </w:r>
          </w:p>
        </w:tc>
        <w:tc>
          <w:tcPr>
            <w:tcW w:w="1134" w:type="dxa"/>
          </w:tcPr>
          <w:p w:rsidR="005159E5" w:rsidRPr="00A556F3" w:rsidRDefault="005159E5" w:rsidP="0021637A">
            <w:pPr>
              <w:pStyle w:val="Bezodstpw"/>
              <w:jc w:val="center"/>
              <w:rPr>
                <w:color w:val="000000" w:themeColor="text1"/>
              </w:rPr>
            </w:pPr>
            <w:r>
              <w:rPr>
                <w:color w:val="000000" w:themeColor="text1"/>
              </w:rPr>
              <w:t xml:space="preserve">  -3,6</w:t>
            </w:r>
            <w:r w:rsidRPr="00A556F3">
              <w:rPr>
                <w:color w:val="000000" w:themeColor="text1"/>
              </w:rPr>
              <w:t xml:space="preserve"> %</w:t>
            </w:r>
          </w:p>
        </w:tc>
      </w:tr>
      <w:tr w:rsidR="005159E5" w:rsidTr="0021637A">
        <w:tc>
          <w:tcPr>
            <w:tcW w:w="3402" w:type="dxa"/>
          </w:tcPr>
          <w:p w:rsidR="005159E5" w:rsidRPr="00A556F3" w:rsidRDefault="005159E5" w:rsidP="0021637A">
            <w:pPr>
              <w:pStyle w:val="Bezodstpw"/>
              <w:jc w:val="center"/>
              <w:rPr>
                <w:b/>
                <w:color w:val="FF0000"/>
              </w:rPr>
            </w:pPr>
            <w:r w:rsidRPr="00A556F3">
              <w:rPr>
                <w:b/>
                <w:color w:val="FF0000"/>
              </w:rPr>
              <w:t>Średnio</w:t>
            </w:r>
          </w:p>
        </w:tc>
        <w:tc>
          <w:tcPr>
            <w:tcW w:w="2302" w:type="dxa"/>
          </w:tcPr>
          <w:p w:rsidR="005159E5" w:rsidRDefault="005159E5" w:rsidP="0021637A">
            <w:pPr>
              <w:pStyle w:val="Bezodstpw"/>
              <w:jc w:val="center"/>
            </w:pPr>
          </w:p>
        </w:tc>
        <w:tc>
          <w:tcPr>
            <w:tcW w:w="2303" w:type="dxa"/>
          </w:tcPr>
          <w:p w:rsidR="005159E5" w:rsidRDefault="005159E5" w:rsidP="0021637A">
            <w:pPr>
              <w:pStyle w:val="Bezodstpw"/>
              <w:jc w:val="center"/>
            </w:pPr>
          </w:p>
        </w:tc>
        <w:tc>
          <w:tcPr>
            <w:tcW w:w="1134" w:type="dxa"/>
          </w:tcPr>
          <w:p w:rsidR="005159E5" w:rsidRPr="00581996" w:rsidRDefault="005159E5" w:rsidP="0021637A">
            <w:pPr>
              <w:pStyle w:val="Bezodstpw"/>
              <w:jc w:val="center"/>
              <w:rPr>
                <w:b/>
                <w:color w:val="FF0000"/>
              </w:rPr>
            </w:pPr>
            <w:r w:rsidRPr="00581996">
              <w:rPr>
                <w:b/>
                <w:color w:val="FF0000"/>
              </w:rPr>
              <w:t xml:space="preserve">+ </w:t>
            </w:r>
            <w:r>
              <w:rPr>
                <w:b/>
                <w:color w:val="FF0000"/>
              </w:rPr>
              <w:t>3</w:t>
            </w:r>
            <w:r w:rsidRPr="00581996">
              <w:rPr>
                <w:b/>
                <w:color w:val="FF0000"/>
              </w:rPr>
              <w:t>,</w:t>
            </w:r>
            <w:r>
              <w:rPr>
                <w:b/>
                <w:color w:val="FF0000"/>
              </w:rPr>
              <w:t>9 %</w:t>
            </w:r>
          </w:p>
        </w:tc>
      </w:tr>
      <w:tr w:rsidR="005159E5" w:rsidTr="0021637A">
        <w:tc>
          <w:tcPr>
            <w:tcW w:w="3402" w:type="dxa"/>
          </w:tcPr>
          <w:p w:rsidR="005159E5" w:rsidRDefault="005159E5" w:rsidP="0021637A">
            <w:pPr>
              <w:pStyle w:val="Bezodstpw"/>
              <w:jc w:val="center"/>
            </w:pPr>
            <w:r>
              <w:t>WIG 20</w:t>
            </w:r>
          </w:p>
        </w:tc>
        <w:tc>
          <w:tcPr>
            <w:tcW w:w="2302" w:type="dxa"/>
          </w:tcPr>
          <w:p w:rsidR="005159E5" w:rsidRDefault="005159E5" w:rsidP="0021637A">
            <w:pPr>
              <w:pStyle w:val="Bezodstpw"/>
              <w:jc w:val="center"/>
            </w:pPr>
            <w:r>
              <w:t xml:space="preserve">2 423,29,77 pkt. </w:t>
            </w:r>
          </w:p>
        </w:tc>
        <w:tc>
          <w:tcPr>
            <w:tcW w:w="2303" w:type="dxa"/>
          </w:tcPr>
          <w:p w:rsidR="005159E5" w:rsidRDefault="005159E5" w:rsidP="0021637A">
            <w:pPr>
              <w:pStyle w:val="Bezodstpw"/>
              <w:jc w:val="center"/>
            </w:pPr>
            <w:r>
              <w:t>2 416,93 pkt.</w:t>
            </w:r>
          </w:p>
        </w:tc>
        <w:tc>
          <w:tcPr>
            <w:tcW w:w="1134" w:type="dxa"/>
          </w:tcPr>
          <w:p w:rsidR="005159E5" w:rsidRDefault="005159E5" w:rsidP="0021637A">
            <w:pPr>
              <w:pStyle w:val="Bezodstpw"/>
              <w:jc w:val="center"/>
            </w:pPr>
            <w:r>
              <w:t xml:space="preserve"> -0,3 % </w:t>
            </w:r>
          </w:p>
        </w:tc>
      </w:tr>
    </w:tbl>
    <w:p w:rsidR="005159E5" w:rsidRDefault="005159E5" w:rsidP="005159E5">
      <w:pPr>
        <w:pStyle w:val="Bezodstpw"/>
        <w:jc w:val="both"/>
      </w:pPr>
      <w:r>
        <w:t xml:space="preserve">Tabela: Procentowa zmiana ceny akcji spółki, której akcje zostały wymienione w siódmym numerze ,,Raportu Tygodniowego” z 27 października 2014 roku w rubryce ,,Wykres do przemyślenia” w okresie od 24 października do 28 listopada 2014 roku oraz procentowa zmiana indeksu WIG 20 w tym okresie. </w:t>
      </w:r>
    </w:p>
    <w:tbl>
      <w:tblPr>
        <w:tblStyle w:val="Tabela-Siatka"/>
        <w:tblW w:w="0" w:type="auto"/>
        <w:tblLook w:val="04A0"/>
      </w:tblPr>
      <w:tblGrid>
        <w:gridCol w:w="3402"/>
        <w:gridCol w:w="2302"/>
        <w:gridCol w:w="2303"/>
        <w:gridCol w:w="1134"/>
      </w:tblGrid>
      <w:tr w:rsidR="005159E5" w:rsidTr="0021637A">
        <w:tc>
          <w:tcPr>
            <w:tcW w:w="3402" w:type="dxa"/>
          </w:tcPr>
          <w:p w:rsidR="005159E5" w:rsidRDefault="005159E5" w:rsidP="0021637A">
            <w:pPr>
              <w:pStyle w:val="Bezodstpw"/>
              <w:jc w:val="center"/>
            </w:pPr>
            <w:r>
              <w:t>Instrument finansowy</w:t>
            </w:r>
          </w:p>
        </w:tc>
        <w:tc>
          <w:tcPr>
            <w:tcW w:w="2302" w:type="dxa"/>
          </w:tcPr>
          <w:p w:rsidR="005159E5" w:rsidRDefault="005159E5" w:rsidP="0021637A">
            <w:pPr>
              <w:pStyle w:val="Bezodstpw"/>
              <w:jc w:val="center"/>
            </w:pPr>
            <w:r>
              <w:t>Poziom – 24.10.2014</w:t>
            </w:r>
          </w:p>
        </w:tc>
        <w:tc>
          <w:tcPr>
            <w:tcW w:w="2303" w:type="dxa"/>
          </w:tcPr>
          <w:p w:rsidR="005159E5" w:rsidRDefault="005159E5" w:rsidP="0021637A">
            <w:pPr>
              <w:pStyle w:val="Bezodstpw"/>
              <w:jc w:val="center"/>
            </w:pPr>
            <w:r>
              <w:t>Poziom – 28.11.2014</w:t>
            </w:r>
          </w:p>
        </w:tc>
        <w:tc>
          <w:tcPr>
            <w:tcW w:w="1134" w:type="dxa"/>
          </w:tcPr>
          <w:p w:rsidR="005159E5" w:rsidRDefault="005159E5" w:rsidP="0021637A">
            <w:pPr>
              <w:pStyle w:val="Bezodstpw"/>
              <w:jc w:val="center"/>
            </w:pPr>
            <w:r>
              <w:t>Zmiana (w %)</w:t>
            </w:r>
          </w:p>
        </w:tc>
      </w:tr>
      <w:tr w:rsidR="005159E5" w:rsidTr="0021637A">
        <w:tc>
          <w:tcPr>
            <w:tcW w:w="3402" w:type="dxa"/>
          </w:tcPr>
          <w:p w:rsidR="005159E5" w:rsidRDefault="005159E5" w:rsidP="0021637A">
            <w:pPr>
              <w:pStyle w:val="Bezodstpw"/>
              <w:jc w:val="center"/>
            </w:pPr>
            <w:r>
              <w:t xml:space="preserve">Akcja spółki </w:t>
            </w:r>
            <w:proofErr w:type="spellStart"/>
            <w:r>
              <w:t>Tesgas</w:t>
            </w:r>
            <w:proofErr w:type="spellEnd"/>
            <w:r>
              <w:t xml:space="preserve"> </w:t>
            </w:r>
          </w:p>
        </w:tc>
        <w:tc>
          <w:tcPr>
            <w:tcW w:w="2302" w:type="dxa"/>
          </w:tcPr>
          <w:p w:rsidR="005159E5" w:rsidRDefault="005159E5" w:rsidP="0021637A">
            <w:pPr>
              <w:pStyle w:val="Bezodstpw"/>
              <w:jc w:val="center"/>
            </w:pPr>
            <w:r>
              <w:t>4,32 zł.</w:t>
            </w:r>
          </w:p>
        </w:tc>
        <w:tc>
          <w:tcPr>
            <w:tcW w:w="2303" w:type="dxa"/>
          </w:tcPr>
          <w:p w:rsidR="005159E5" w:rsidRDefault="005159E5" w:rsidP="0021637A">
            <w:pPr>
              <w:pStyle w:val="Bezodstpw"/>
              <w:jc w:val="center"/>
            </w:pPr>
            <w:r>
              <w:t xml:space="preserve">3,94 zł. </w:t>
            </w:r>
          </w:p>
        </w:tc>
        <w:tc>
          <w:tcPr>
            <w:tcW w:w="1134" w:type="dxa"/>
          </w:tcPr>
          <w:p w:rsidR="005159E5" w:rsidRDefault="005159E5" w:rsidP="0021637A">
            <w:pPr>
              <w:pStyle w:val="Bezodstpw"/>
              <w:jc w:val="center"/>
            </w:pPr>
            <w:r>
              <w:t xml:space="preserve">  -8,8 %</w:t>
            </w:r>
          </w:p>
        </w:tc>
      </w:tr>
      <w:tr w:rsidR="005159E5" w:rsidRPr="008F668F" w:rsidTr="0021637A">
        <w:tc>
          <w:tcPr>
            <w:tcW w:w="3402" w:type="dxa"/>
          </w:tcPr>
          <w:p w:rsidR="005159E5" w:rsidRPr="008F668F" w:rsidRDefault="005159E5" w:rsidP="0021637A">
            <w:pPr>
              <w:pStyle w:val="Bezodstpw"/>
              <w:jc w:val="center"/>
              <w:rPr>
                <w:b/>
                <w:color w:val="FF0000"/>
              </w:rPr>
            </w:pPr>
            <w:r w:rsidRPr="008F668F">
              <w:rPr>
                <w:b/>
                <w:color w:val="FF0000"/>
              </w:rPr>
              <w:t>Średnio</w:t>
            </w:r>
          </w:p>
        </w:tc>
        <w:tc>
          <w:tcPr>
            <w:tcW w:w="2302" w:type="dxa"/>
            <w:tcBorders>
              <w:right w:val="nil"/>
            </w:tcBorders>
          </w:tcPr>
          <w:p w:rsidR="005159E5" w:rsidRPr="008F668F" w:rsidRDefault="005159E5" w:rsidP="0021637A">
            <w:pPr>
              <w:pStyle w:val="Bezodstpw"/>
              <w:jc w:val="center"/>
              <w:rPr>
                <w:b/>
                <w:color w:val="FF0000"/>
              </w:rPr>
            </w:pPr>
          </w:p>
        </w:tc>
        <w:tc>
          <w:tcPr>
            <w:tcW w:w="2303" w:type="dxa"/>
            <w:tcBorders>
              <w:left w:val="nil"/>
            </w:tcBorders>
          </w:tcPr>
          <w:p w:rsidR="005159E5" w:rsidRPr="008F668F" w:rsidRDefault="005159E5" w:rsidP="0021637A">
            <w:pPr>
              <w:pStyle w:val="Bezodstpw"/>
              <w:jc w:val="center"/>
              <w:rPr>
                <w:b/>
                <w:color w:val="FF0000"/>
              </w:rPr>
            </w:pPr>
          </w:p>
        </w:tc>
        <w:tc>
          <w:tcPr>
            <w:tcW w:w="1134" w:type="dxa"/>
          </w:tcPr>
          <w:p w:rsidR="005159E5" w:rsidRPr="008F668F" w:rsidRDefault="005159E5" w:rsidP="0021637A">
            <w:pPr>
              <w:pStyle w:val="Bezodstpw"/>
              <w:jc w:val="center"/>
              <w:rPr>
                <w:b/>
                <w:color w:val="FF0000"/>
              </w:rPr>
            </w:pPr>
            <w:r>
              <w:rPr>
                <w:b/>
                <w:color w:val="FF0000"/>
              </w:rPr>
              <w:t xml:space="preserve">  -8,8 %</w:t>
            </w:r>
          </w:p>
        </w:tc>
      </w:tr>
      <w:tr w:rsidR="005159E5" w:rsidTr="0021637A">
        <w:tc>
          <w:tcPr>
            <w:tcW w:w="3402" w:type="dxa"/>
          </w:tcPr>
          <w:p w:rsidR="005159E5" w:rsidRDefault="005159E5" w:rsidP="0021637A">
            <w:pPr>
              <w:pStyle w:val="Bezodstpw"/>
              <w:jc w:val="center"/>
            </w:pPr>
            <w:r>
              <w:t>WIG 20</w:t>
            </w:r>
          </w:p>
        </w:tc>
        <w:tc>
          <w:tcPr>
            <w:tcW w:w="2302" w:type="dxa"/>
          </w:tcPr>
          <w:p w:rsidR="005159E5" w:rsidRDefault="005159E5" w:rsidP="0021637A">
            <w:pPr>
              <w:pStyle w:val="Bezodstpw"/>
              <w:jc w:val="center"/>
            </w:pPr>
            <w:r>
              <w:t xml:space="preserve">2 401,13 pkt. </w:t>
            </w:r>
          </w:p>
        </w:tc>
        <w:tc>
          <w:tcPr>
            <w:tcW w:w="2303" w:type="dxa"/>
          </w:tcPr>
          <w:p w:rsidR="005159E5" w:rsidRDefault="005159E5" w:rsidP="0021637A">
            <w:pPr>
              <w:pStyle w:val="Bezodstpw"/>
              <w:jc w:val="center"/>
            </w:pPr>
            <w:r>
              <w:t>2 416,93 pkt.</w:t>
            </w:r>
          </w:p>
        </w:tc>
        <w:tc>
          <w:tcPr>
            <w:tcW w:w="1134" w:type="dxa"/>
          </w:tcPr>
          <w:p w:rsidR="005159E5" w:rsidRDefault="005159E5" w:rsidP="0021637A">
            <w:pPr>
              <w:pStyle w:val="Bezodstpw"/>
              <w:jc w:val="center"/>
            </w:pPr>
            <w:r>
              <w:t xml:space="preserve">  -0,3 %</w:t>
            </w:r>
          </w:p>
        </w:tc>
      </w:tr>
    </w:tbl>
    <w:p w:rsidR="005159E5" w:rsidRDefault="005159E5" w:rsidP="005159E5">
      <w:pPr>
        <w:pStyle w:val="Bezodstpw"/>
        <w:jc w:val="both"/>
      </w:pPr>
    </w:p>
    <w:p w:rsidR="005159E5" w:rsidRDefault="005159E5" w:rsidP="005159E5">
      <w:pPr>
        <w:pStyle w:val="Bezodstpw"/>
        <w:jc w:val="both"/>
      </w:pPr>
      <w:r>
        <w:t xml:space="preserve">Tabela: Procentowa zmiana ceny akcji spółki, której akcje zostały wymienione w numerze ,,Raportu Tygodniowego” z 3 listopada 2014 roku w rubryce ,,Wykres do przemyślenia” w okresie od 31 października 2014 roku do 28 listopada 2014 roku oraz procentowa zmiana indeksu WIG 20 w tym okresie. </w:t>
      </w:r>
    </w:p>
    <w:tbl>
      <w:tblPr>
        <w:tblStyle w:val="Tabela-Siatka"/>
        <w:tblW w:w="0" w:type="auto"/>
        <w:tblLook w:val="04A0"/>
      </w:tblPr>
      <w:tblGrid>
        <w:gridCol w:w="3402"/>
        <w:gridCol w:w="2302"/>
        <w:gridCol w:w="2303"/>
        <w:gridCol w:w="1134"/>
      </w:tblGrid>
      <w:tr w:rsidR="005159E5" w:rsidTr="0021637A">
        <w:tc>
          <w:tcPr>
            <w:tcW w:w="3402" w:type="dxa"/>
          </w:tcPr>
          <w:p w:rsidR="005159E5" w:rsidRDefault="005159E5" w:rsidP="0021637A">
            <w:pPr>
              <w:pStyle w:val="Bezodstpw"/>
              <w:jc w:val="center"/>
            </w:pPr>
            <w:r>
              <w:t>Instrument finansowy</w:t>
            </w:r>
          </w:p>
        </w:tc>
        <w:tc>
          <w:tcPr>
            <w:tcW w:w="2302" w:type="dxa"/>
          </w:tcPr>
          <w:p w:rsidR="005159E5" w:rsidRDefault="005159E5" w:rsidP="0021637A">
            <w:pPr>
              <w:pStyle w:val="Bezodstpw"/>
              <w:jc w:val="center"/>
            </w:pPr>
            <w:r>
              <w:t>Poziom – 31.10.2014</w:t>
            </w:r>
          </w:p>
        </w:tc>
        <w:tc>
          <w:tcPr>
            <w:tcW w:w="2303" w:type="dxa"/>
          </w:tcPr>
          <w:p w:rsidR="005159E5" w:rsidRDefault="005159E5" w:rsidP="0021637A">
            <w:pPr>
              <w:pStyle w:val="Bezodstpw"/>
              <w:jc w:val="center"/>
            </w:pPr>
            <w:r>
              <w:t>Poziom – 28.11.2014</w:t>
            </w:r>
          </w:p>
        </w:tc>
        <w:tc>
          <w:tcPr>
            <w:tcW w:w="1134" w:type="dxa"/>
          </w:tcPr>
          <w:p w:rsidR="005159E5" w:rsidRDefault="005159E5" w:rsidP="0021637A">
            <w:pPr>
              <w:pStyle w:val="Bezodstpw"/>
              <w:jc w:val="center"/>
            </w:pPr>
            <w:r>
              <w:t>Zmiana (w %)</w:t>
            </w:r>
          </w:p>
        </w:tc>
      </w:tr>
      <w:tr w:rsidR="005159E5" w:rsidTr="0021637A">
        <w:tc>
          <w:tcPr>
            <w:tcW w:w="3402" w:type="dxa"/>
          </w:tcPr>
          <w:p w:rsidR="005159E5" w:rsidRDefault="005159E5" w:rsidP="0021637A">
            <w:pPr>
              <w:pStyle w:val="Bezodstpw"/>
              <w:jc w:val="center"/>
            </w:pPr>
            <w:r>
              <w:t>Akcja spółki Enea</w:t>
            </w:r>
          </w:p>
        </w:tc>
        <w:tc>
          <w:tcPr>
            <w:tcW w:w="2302" w:type="dxa"/>
          </w:tcPr>
          <w:p w:rsidR="005159E5" w:rsidRDefault="005159E5" w:rsidP="0021637A">
            <w:pPr>
              <w:pStyle w:val="Bezodstpw"/>
              <w:jc w:val="center"/>
            </w:pPr>
            <w:r>
              <w:t>16,00 zł.</w:t>
            </w:r>
          </w:p>
        </w:tc>
        <w:tc>
          <w:tcPr>
            <w:tcW w:w="2303" w:type="dxa"/>
          </w:tcPr>
          <w:p w:rsidR="005159E5" w:rsidRDefault="005159E5" w:rsidP="0021637A">
            <w:pPr>
              <w:pStyle w:val="Bezodstpw"/>
              <w:jc w:val="center"/>
            </w:pPr>
            <w:r>
              <w:t xml:space="preserve">17,90 zł. </w:t>
            </w:r>
          </w:p>
        </w:tc>
        <w:tc>
          <w:tcPr>
            <w:tcW w:w="1134" w:type="dxa"/>
          </w:tcPr>
          <w:p w:rsidR="005159E5" w:rsidRDefault="005159E5" w:rsidP="0021637A">
            <w:pPr>
              <w:pStyle w:val="Bezodstpw"/>
              <w:jc w:val="center"/>
            </w:pPr>
            <w:r>
              <w:t xml:space="preserve">  +11,9 %</w:t>
            </w:r>
          </w:p>
        </w:tc>
      </w:tr>
      <w:tr w:rsidR="005159E5" w:rsidRPr="008F668F" w:rsidTr="0021637A">
        <w:tc>
          <w:tcPr>
            <w:tcW w:w="3402" w:type="dxa"/>
          </w:tcPr>
          <w:p w:rsidR="005159E5" w:rsidRPr="008F668F" w:rsidRDefault="005159E5" w:rsidP="0021637A">
            <w:pPr>
              <w:pStyle w:val="Bezodstpw"/>
              <w:jc w:val="center"/>
              <w:rPr>
                <w:b/>
                <w:color w:val="FF0000"/>
              </w:rPr>
            </w:pPr>
            <w:r w:rsidRPr="008F668F">
              <w:rPr>
                <w:b/>
                <w:color w:val="FF0000"/>
              </w:rPr>
              <w:t>Średnio</w:t>
            </w:r>
          </w:p>
        </w:tc>
        <w:tc>
          <w:tcPr>
            <w:tcW w:w="2302" w:type="dxa"/>
            <w:tcBorders>
              <w:right w:val="nil"/>
            </w:tcBorders>
          </w:tcPr>
          <w:p w:rsidR="005159E5" w:rsidRPr="008F668F" w:rsidRDefault="005159E5" w:rsidP="0021637A">
            <w:pPr>
              <w:pStyle w:val="Bezodstpw"/>
              <w:jc w:val="center"/>
              <w:rPr>
                <w:b/>
                <w:color w:val="FF0000"/>
              </w:rPr>
            </w:pPr>
          </w:p>
        </w:tc>
        <w:tc>
          <w:tcPr>
            <w:tcW w:w="2303" w:type="dxa"/>
            <w:tcBorders>
              <w:left w:val="nil"/>
            </w:tcBorders>
          </w:tcPr>
          <w:p w:rsidR="005159E5" w:rsidRPr="008F668F" w:rsidRDefault="005159E5" w:rsidP="0021637A">
            <w:pPr>
              <w:pStyle w:val="Bezodstpw"/>
              <w:jc w:val="center"/>
              <w:rPr>
                <w:b/>
                <w:color w:val="FF0000"/>
              </w:rPr>
            </w:pPr>
          </w:p>
        </w:tc>
        <w:tc>
          <w:tcPr>
            <w:tcW w:w="1134" w:type="dxa"/>
          </w:tcPr>
          <w:p w:rsidR="005159E5" w:rsidRPr="008F668F" w:rsidRDefault="005159E5" w:rsidP="0021637A">
            <w:pPr>
              <w:pStyle w:val="Bezodstpw"/>
              <w:jc w:val="center"/>
              <w:rPr>
                <w:b/>
                <w:color w:val="FF0000"/>
              </w:rPr>
            </w:pPr>
            <w:r>
              <w:rPr>
                <w:b/>
                <w:color w:val="FF0000"/>
              </w:rPr>
              <w:t xml:space="preserve">  +11,9 %</w:t>
            </w:r>
          </w:p>
        </w:tc>
      </w:tr>
      <w:tr w:rsidR="005159E5" w:rsidTr="0021637A">
        <w:tc>
          <w:tcPr>
            <w:tcW w:w="3402" w:type="dxa"/>
          </w:tcPr>
          <w:p w:rsidR="005159E5" w:rsidRDefault="005159E5" w:rsidP="0021637A">
            <w:pPr>
              <w:pStyle w:val="Bezodstpw"/>
              <w:jc w:val="center"/>
            </w:pPr>
            <w:r>
              <w:t>WIG 20</w:t>
            </w:r>
          </w:p>
        </w:tc>
        <w:tc>
          <w:tcPr>
            <w:tcW w:w="2302" w:type="dxa"/>
          </w:tcPr>
          <w:p w:rsidR="005159E5" w:rsidRDefault="005159E5" w:rsidP="0021637A">
            <w:pPr>
              <w:pStyle w:val="Bezodstpw"/>
              <w:jc w:val="center"/>
            </w:pPr>
            <w:r>
              <w:t xml:space="preserve">2 463,68 pkt. </w:t>
            </w:r>
          </w:p>
        </w:tc>
        <w:tc>
          <w:tcPr>
            <w:tcW w:w="2303" w:type="dxa"/>
          </w:tcPr>
          <w:p w:rsidR="005159E5" w:rsidRDefault="005159E5" w:rsidP="0021637A">
            <w:pPr>
              <w:pStyle w:val="Bezodstpw"/>
              <w:jc w:val="center"/>
            </w:pPr>
            <w:r>
              <w:t>2 416,93 pkt.</w:t>
            </w:r>
          </w:p>
        </w:tc>
        <w:tc>
          <w:tcPr>
            <w:tcW w:w="1134" w:type="dxa"/>
          </w:tcPr>
          <w:p w:rsidR="005159E5" w:rsidRDefault="005159E5" w:rsidP="0021637A">
            <w:pPr>
              <w:pStyle w:val="Bezodstpw"/>
              <w:jc w:val="center"/>
            </w:pPr>
            <w:r>
              <w:t xml:space="preserve">  -1,9 %</w:t>
            </w:r>
          </w:p>
        </w:tc>
      </w:tr>
    </w:tbl>
    <w:p w:rsidR="005159E5" w:rsidRPr="004F4FA7" w:rsidRDefault="005159E5" w:rsidP="005159E5">
      <w:pPr>
        <w:pStyle w:val="Bezodstpw"/>
        <w:jc w:val="both"/>
        <w:rPr>
          <w:u w:val="single"/>
        </w:rPr>
      </w:pPr>
      <w:r>
        <w:lastRenderedPageBreak/>
        <w:t xml:space="preserve">Warto zauważyć, że </w:t>
      </w:r>
      <w:r w:rsidRPr="003D7CD1">
        <w:rPr>
          <w:b/>
        </w:rPr>
        <w:t>spośród 1</w:t>
      </w:r>
      <w:r>
        <w:rPr>
          <w:b/>
        </w:rPr>
        <w:t>7</w:t>
      </w:r>
      <w:r w:rsidRPr="003D7CD1">
        <w:rPr>
          <w:b/>
        </w:rPr>
        <w:t xml:space="preserve"> spółek, których akcje zakwalifikowane zostały do rubryki ,,Wykres do przemyślenia”</w:t>
      </w:r>
      <w:r>
        <w:t xml:space="preserve"> (gdyż wybiły się już z formacji podwójnego dna) </w:t>
      </w:r>
      <w:r w:rsidRPr="003D7CD1">
        <w:rPr>
          <w:b/>
        </w:rPr>
        <w:t>kursy akcji 1</w:t>
      </w:r>
      <w:r>
        <w:rPr>
          <w:b/>
        </w:rPr>
        <w:t>1</w:t>
      </w:r>
      <w:r w:rsidRPr="003D7CD1">
        <w:rPr>
          <w:b/>
        </w:rPr>
        <w:t xml:space="preserve"> spółek</w:t>
      </w:r>
      <w:r>
        <w:t xml:space="preserve"> od momentu owego zakwalifikowania do tej rubryki do dnia 28 listopada 2014 roku zachowywały się </w:t>
      </w:r>
      <w:r w:rsidRPr="003D7CD1">
        <w:rPr>
          <w:b/>
          <w:u w:val="single"/>
        </w:rPr>
        <w:t>lepiej</w:t>
      </w:r>
      <w:r>
        <w:t xml:space="preserve"> od indeksu WIG20, </w:t>
      </w:r>
      <w:r w:rsidRPr="004F4FA7">
        <w:rPr>
          <w:b/>
        </w:rPr>
        <w:t xml:space="preserve">5 </w:t>
      </w:r>
      <w:r w:rsidRPr="004F4FA7">
        <w:rPr>
          <w:b/>
          <w:u w:val="single"/>
        </w:rPr>
        <w:t>gorzej</w:t>
      </w:r>
      <w:r w:rsidRPr="004F4FA7">
        <w:rPr>
          <w:b/>
        </w:rPr>
        <w:t xml:space="preserve"> a 1 </w:t>
      </w:r>
      <w:r w:rsidRPr="004F4FA7">
        <w:rPr>
          <w:b/>
          <w:u w:val="single"/>
        </w:rPr>
        <w:t>tak samo</w:t>
      </w:r>
      <w:r w:rsidRPr="004F4FA7">
        <w:rPr>
          <w:b/>
        </w:rPr>
        <w:t xml:space="preserve"> jak WIG 20.</w:t>
      </w:r>
      <w:r w:rsidRPr="004F4FA7">
        <w:rPr>
          <w:b/>
          <w:u w:val="single"/>
        </w:rPr>
        <w:t xml:space="preserve"> </w:t>
      </w:r>
      <w:r w:rsidRPr="004F4FA7">
        <w:rPr>
          <w:u w:val="single"/>
        </w:rPr>
        <w:t xml:space="preserve"> </w:t>
      </w:r>
    </w:p>
    <w:p w:rsidR="005159E5" w:rsidRDefault="005159E5" w:rsidP="005159E5">
      <w:pPr>
        <w:pStyle w:val="Bezodstpw"/>
        <w:jc w:val="both"/>
      </w:pPr>
    </w:p>
    <w:p w:rsidR="005159E5" w:rsidRDefault="005159E5" w:rsidP="005159E5">
      <w:pPr>
        <w:pStyle w:val="Bezodstpw"/>
        <w:jc w:val="both"/>
      </w:pPr>
      <w:r>
        <w:t xml:space="preserve">To pokazuje, że kursy akcji po wybiciu z formacji podwójnego zazwyczaj zachowywały się relatywnie mocno (szczególnie Rafako, Stalprodukt, Capital Partners oraz </w:t>
      </w:r>
      <w:proofErr w:type="spellStart"/>
      <w:r>
        <w:t>Immobile</w:t>
      </w:r>
      <w:proofErr w:type="spellEnd"/>
      <w:r>
        <w:t>), aczkolwiek były przykłady relatywnej słabości (</w:t>
      </w:r>
      <w:proofErr w:type="spellStart"/>
      <w:r>
        <w:t>Sygnity</w:t>
      </w:r>
      <w:proofErr w:type="spellEnd"/>
      <w:r>
        <w:t xml:space="preserve">, </w:t>
      </w:r>
      <w:proofErr w:type="spellStart"/>
      <w:r>
        <w:t>Tesgas</w:t>
      </w:r>
      <w:proofErr w:type="spellEnd"/>
      <w:r>
        <w:t>)</w:t>
      </w:r>
    </w:p>
    <w:p w:rsidR="005159E5" w:rsidRDefault="005159E5" w:rsidP="005159E5">
      <w:pPr>
        <w:pStyle w:val="Bezodstpw"/>
        <w:jc w:val="both"/>
      </w:pPr>
    </w:p>
    <w:p w:rsidR="005159E5" w:rsidRDefault="005159E5" w:rsidP="005159E5">
      <w:pPr>
        <w:pStyle w:val="Bezodstpw"/>
        <w:pBdr>
          <w:top w:val="single" w:sz="4" w:space="0" w:color="auto"/>
          <w:left w:val="single" w:sz="4" w:space="4" w:color="auto"/>
          <w:bottom w:val="single" w:sz="4" w:space="1" w:color="auto"/>
          <w:right w:val="single" w:sz="4" w:space="4" w:color="auto"/>
        </w:pBdr>
        <w:jc w:val="center"/>
      </w:pPr>
      <w:r>
        <w:t>,,Wykres do przemyślenia” – porównanie</w:t>
      </w:r>
    </w:p>
    <w:p w:rsidR="005159E5" w:rsidRDefault="005159E5" w:rsidP="005159E5">
      <w:pPr>
        <w:pStyle w:val="Bezodstpw"/>
        <w:jc w:val="both"/>
      </w:pPr>
    </w:p>
    <w:p w:rsidR="005159E5" w:rsidRDefault="005159E5" w:rsidP="005159E5">
      <w:pPr>
        <w:pStyle w:val="Bezodstpw"/>
        <w:jc w:val="both"/>
      </w:pPr>
      <w:r>
        <w:t>W rubryce ,,Wykres do przemyślenia” znalazło się 17 spółek, w bardzo różnych momentach. Zastanawiam się czy można jakoś porównać ich zachowanie (także względem WIG 20) między sobą.</w:t>
      </w:r>
    </w:p>
    <w:p w:rsidR="005159E5" w:rsidRDefault="005159E5" w:rsidP="005159E5">
      <w:pPr>
        <w:pStyle w:val="Bezodstpw"/>
        <w:jc w:val="both"/>
      </w:pPr>
    </w:p>
    <w:p w:rsidR="005159E5" w:rsidRDefault="005159E5" w:rsidP="005159E5">
      <w:pPr>
        <w:pStyle w:val="Bezodstpw"/>
        <w:jc w:val="both"/>
        <w:rPr>
          <w:b/>
        </w:rPr>
      </w:pPr>
      <w:r>
        <w:t xml:space="preserve">W tym numerze ,,Raportu Tygodniowego” postanowiłem stworzyć tabelę, w której dla każdej spółki (a jest ich 17) przedstawiona została </w:t>
      </w:r>
      <w:r w:rsidRPr="00537B6A">
        <w:rPr>
          <w:b/>
          <w:color w:val="FF0000"/>
        </w:rPr>
        <w:t>procentowa zmiana kursu akcji tej spółki</w:t>
      </w:r>
      <w:r>
        <w:t xml:space="preserve"> od sesji bezpośrednio poprzedzającej dzień, w którym akcje spółki znalazły się w rubryce ,,Wykres do przemyślenia” do 28 listopada 2014 roku </w:t>
      </w:r>
      <w:r w:rsidRPr="00537B6A">
        <w:rPr>
          <w:b/>
          <w:color w:val="FF0000"/>
        </w:rPr>
        <w:t xml:space="preserve">w </w:t>
      </w:r>
      <w:r>
        <w:rPr>
          <w:b/>
          <w:color w:val="FF0000"/>
        </w:rPr>
        <w:t>odniesieniu</w:t>
      </w:r>
      <w:r w:rsidRPr="00537B6A">
        <w:rPr>
          <w:b/>
          <w:color w:val="FF0000"/>
        </w:rPr>
        <w:t xml:space="preserve"> do okresu 12 miesięcznego</w:t>
      </w:r>
      <w:r>
        <w:t xml:space="preserve"> oraz adekwatna </w:t>
      </w:r>
      <w:r w:rsidRPr="00537B6A">
        <w:rPr>
          <w:b/>
        </w:rPr>
        <w:t>procentowa zmiana indeksu WIG</w:t>
      </w:r>
      <w:r>
        <w:t xml:space="preserve"> 20 także </w:t>
      </w:r>
      <w:r w:rsidRPr="00537B6A">
        <w:rPr>
          <w:b/>
        </w:rPr>
        <w:t xml:space="preserve">w </w:t>
      </w:r>
      <w:r>
        <w:rPr>
          <w:b/>
        </w:rPr>
        <w:t>odniesieniu</w:t>
      </w:r>
      <w:r w:rsidRPr="00537B6A">
        <w:rPr>
          <w:b/>
        </w:rPr>
        <w:t xml:space="preserve"> do okresu 12-miesięcznego</w:t>
      </w:r>
    </w:p>
    <w:p w:rsidR="005159E5" w:rsidRDefault="005159E5" w:rsidP="005159E5">
      <w:pPr>
        <w:pStyle w:val="Bezodstpw"/>
        <w:jc w:val="both"/>
      </w:pPr>
    </w:p>
    <w:p w:rsidR="005159E5" w:rsidRDefault="005159E5" w:rsidP="005159E5">
      <w:pPr>
        <w:pStyle w:val="Bezodstpw"/>
        <w:jc w:val="both"/>
      </w:pPr>
    </w:p>
    <w:tbl>
      <w:tblPr>
        <w:tblStyle w:val="Tabela-Siatka"/>
        <w:tblW w:w="0" w:type="auto"/>
        <w:tblLook w:val="04A0"/>
      </w:tblPr>
      <w:tblGrid>
        <w:gridCol w:w="3070"/>
        <w:gridCol w:w="3071"/>
        <w:gridCol w:w="3071"/>
      </w:tblGrid>
      <w:tr w:rsidR="005159E5" w:rsidTr="0021637A">
        <w:tc>
          <w:tcPr>
            <w:tcW w:w="3070" w:type="dxa"/>
          </w:tcPr>
          <w:p w:rsidR="005159E5" w:rsidRPr="00537B6A" w:rsidRDefault="005159E5" w:rsidP="0021637A">
            <w:pPr>
              <w:pStyle w:val="Bezodstpw"/>
              <w:jc w:val="center"/>
              <w:rPr>
                <w:b/>
                <w:color w:val="000000" w:themeColor="text1"/>
              </w:rPr>
            </w:pPr>
            <w:r w:rsidRPr="00537B6A">
              <w:rPr>
                <w:b/>
                <w:color w:val="000000" w:themeColor="text1"/>
              </w:rPr>
              <w:t>Spółka</w:t>
            </w:r>
          </w:p>
        </w:tc>
        <w:tc>
          <w:tcPr>
            <w:tcW w:w="3071" w:type="dxa"/>
          </w:tcPr>
          <w:p w:rsidR="005159E5" w:rsidRPr="00537B6A" w:rsidRDefault="005159E5" w:rsidP="0021637A">
            <w:pPr>
              <w:pStyle w:val="Bezodstpw"/>
              <w:jc w:val="center"/>
              <w:rPr>
                <w:b/>
                <w:color w:val="FF0000"/>
              </w:rPr>
            </w:pPr>
            <w:r w:rsidRPr="00537B6A">
              <w:rPr>
                <w:b/>
                <w:color w:val="FF0000"/>
              </w:rPr>
              <w:t>12-miesięczna zmiana kursu</w:t>
            </w:r>
          </w:p>
        </w:tc>
        <w:tc>
          <w:tcPr>
            <w:tcW w:w="3071" w:type="dxa"/>
          </w:tcPr>
          <w:p w:rsidR="005159E5" w:rsidRDefault="005159E5" w:rsidP="0021637A">
            <w:pPr>
              <w:pStyle w:val="Bezodstpw"/>
              <w:jc w:val="center"/>
            </w:pPr>
            <w:r>
              <w:t>12-miesięczna zmiana WIG20</w:t>
            </w:r>
          </w:p>
        </w:tc>
      </w:tr>
      <w:tr w:rsidR="005159E5" w:rsidTr="0021637A">
        <w:tc>
          <w:tcPr>
            <w:tcW w:w="3070" w:type="dxa"/>
          </w:tcPr>
          <w:p w:rsidR="005159E5" w:rsidRPr="00537B6A" w:rsidRDefault="005159E5" w:rsidP="0021637A">
            <w:pPr>
              <w:jc w:val="center"/>
              <w:rPr>
                <w:b/>
                <w:color w:val="000000" w:themeColor="text1"/>
              </w:rPr>
            </w:pPr>
            <w:r w:rsidRPr="00537B6A">
              <w:rPr>
                <w:b/>
                <w:color w:val="000000" w:themeColor="text1"/>
              </w:rPr>
              <w:t>IMMOBILE</w:t>
            </w:r>
          </w:p>
        </w:tc>
        <w:tc>
          <w:tcPr>
            <w:tcW w:w="3071" w:type="dxa"/>
          </w:tcPr>
          <w:p w:rsidR="005159E5" w:rsidRPr="004F4FA7" w:rsidRDefault="005159E5" w:rsidP="0021637A">
            <w:pPr>
              <w:jc w:val="center"/>
              <w:rPr>
                <w:b/>
                <w:color w:val="FF0000"/>
              </w:rPr>
            </w:pPr>
            <w:r>
              <w:rPr>
                <w:b/>
                <w:color w:val="FF0000"/>
              </w:rPr>
              <w:t xml:space="preserve">    </w:t>
            </w:r>
            <w:r w:rsidRPr="004F4FA7">
              <w:rPr>
                <w:b/>
                <w:color w:val="FF0000"/>
              </w:rPr>
              <w:t>16,</w:t>
            </w:r>
            <w:r>
              <w:rPr>
                <w:b/>
                <w:color w:val="FF0000"/>
              </w:rPr>
              <w:t>1</w:t>
            </w:r>
          </w:p>
        </w:tc>
        <w:tc>
          <w:tcPr>
            <w:tcW w:w="3071" w:type="dxa"/>
          </w:tcPr>
          <w:p w:rsidR="005159E5" w:rsidRPr="00185227" w:rsidRDefault="005159E5" w:rsidP="0021637A">
            <w:pPr>
              <w:jc w:val="center"/>
            </w:pPr>
            <w:r w:rsidRPr="00185227">
              <w:t>-20,1</w:t>
            </w:r>
          </w:p>
        </w:tc>
      </w:tr>
      <w:tr w:rsidR="005159E5" w:rsidTr="0021637A">
        <w:tc>
          <w:tcPr>
            <w:tcW w:w="3070" w:type="dxa"/>
          </w:tcPr>
          <w:p w:rsidR="005159E5" w:rsidRPr="00537B6A" w:rsidRDefault="005159E5" w:rsidP="0021637A">
            <w:pPr>
              <w:jc w:val="center"/>
              <w:rPr>
                <w:b/>
                <w:color w:val="000000" w:themeColor="text1"/>
              </w:rPr>
            </w:pPr>
            <w:r w:rsidRPr="00537B6A">
              <w:rPr>
                <w:b/>
                <w:color w:val="000000" w:themeColor="text1"/>
              </w:rPr>
              <w:t>LENA</w:t>
            </w:r>
          </w:p>
        </w:tc>
        <w:tc>
          <w:tcPr>
            <w:tcW w:w="3071" w:type="dxa"/>
          </w:tcPr>
          <w:p w:rsidR="005159E5" w:rsidRPr="004F4FA7" w:rsidRDefault="005159E5" w:rsidP="0021637A">
            <w:pPr>
              <w:jc w:val="center"/>
              <w:rPr>
                <w:b/>
                <w:color w:val="FF0000"/>
              </w:rPr>
            </w:pPr>
            <w:r>
              <w:rPr>
                <w:b/>
                <w:color w:val="FF0000"/>
              </w:rPr>
              <w:t xml:space="preserve">   </w:t>
            </w:r>
            <w:r w:rsidRPr="004F4FA7">
              <w:rPr>
                <w:b/>
                <w:color w:val="FF0000"/>
              </w:rPr>
              <w:t>19,5</w:t>
            </w:r>
          </w:p>
        </w:tc>
        <w:tc>
          <w:tcPr>
            <w:tcW w:w="3071" w:type="dxa"/>
          </w:tcPr>
          <w:p w:rsidR="005159E5" w:rsidRPr="00185227" w:rsidRDefault="005159E5" w:rsidP="0021637A">
            <w:pPr>
              <w:jc w:val="center"/>
            </w:pPr>
            <w:r w:rsidRPr="00185227">
              <w:t>-20,1</w:t>
            </w:r>
          </w:p>
        </w:tc>
      </w:tr>
      <w:tr w:rsidR="005159E5" w:rsidTr="0021637A">
        <w:tc>
          <w:tcPr>
            <w:tcW w:w="3070" w:type="dxa"/>
          </w:tcPr>
          <w:p w:rsidR="005159E5" w:rsidRPr="00537B6A" w:rsidRDefault="005159E5" w:rsidP="0021637A">
            <w:pPr>
              <w:jc w:val="center"/>
              <w:rPr>
                <w:b/>
                <w:color w:val="000000" w:themeColor="text1"/>
              </w:rPr>
            </w:pPr>
            <w:r w:rsidRPr="00537B6A">
              <w:rPr>
                <w:b/>
                <w:color w:val="000000" w:themeColor="text1"/>
              </w:rPr>
              <w:t>NETMEDIA</w:t>
            </w:r>
          </w:p>
        </w:tc>
        <w:tc>
          <w:tcPr>
            <w:tcW w:w="3071" w:type="dxa"/>
          </w:tcPr>
          <w:p w:rsidR="005159E5" w:rsidRPr="004F4FA7" w:rsidRDefault="005159E5" w:rsidP="0021637A">
            <w:pPr>
              <w:jc w:val="center"/>
              <w:rPr>
                <w:b/>
                <w:color w:val="FF0000"/>
              </w:rPr>
            </w:pPr>
            <w:r>
              <w:rPr>
                <w:b/>
                <w:color w:val="FF0000"/>
              </w:rPr>
              <w:t xml:space="preserve">    </w:t>
            </w:r>
            <w:r w:rsidRPr="004F4FA7">
              <w:rPr>
                <w:b/>
                <w:color w:val="FF0000"/>
              </w:rPr>
              <w:t>39,</w:t>
            </w:r>
            <w:r>
              <w:rPr>
                <w:b/>
                <w:color w:val="FF0000"/>
              </w:rPr>
              <w:t>6</w:t>
            </w:r>
          </w:p>
        </w:tc>
        <w:tc>
          <w:tcPr>
            <w:tcW w:w="3071" w:type="dxa"/>
          </w:tcPr>
          <w:p w:rsidR="005159E5" w:rsidRPr="00185227" w:rsidRDefault="005159E5" w:rsidP="0021637A">
            <w:pPr>
              <w:jc w:val="center"/>
            </w:pPr>
            <w:r w:rsidRPr="00185227">
              <w:t>-20,1</w:t>
            </w:r>
          </w:p>
        </w:tc>
      </w:tr>
      <w:tr w:rsidR="005159E5" w:rsidTr="0021637A">
        <w:tc>
          <w:tcPr>
            <w:tcW w:w="3070" w:type="dxa"/>
          </w:tcPr>
          <w:p w:rsidR="005159E5" w:rsidRPr="00537B6A" w:rsidRDefault="005159E5" w:rsidP="0021637A">
            <w:pPr>
              <w:jc w:val="center"/>
              <w:rPr>
                <w:b/>
                <w:color w:val="000000" w:themeColor="text1"/>
              </w:rPr>
            </w:pPr>
            <w:r w:rsidRPr="00537B6A">
              <w:rPr>
                <w:b/>
                <w:color w:val="000000" w:themeColor="text1"/>
              </w:rPr>
              <w:t>RAFAKO</w:t>
            </w:r>
          </w:p>
        </w:tc>
        <w:tc>
          <w:tcPr>
            <w:tcW w:w="3071" w:type="dxa"/>
          </w:tcPr>
          <w:p w:rsidR="005159E5" w:rsidRPr="004F4FA7" w:rsidRDefault="005159E5" w:rsidP="0021637A">
            <w:pPr>
              <w:jc w:val="center"/>
              <w:rPr>
                <w:b/>
                <w:color w:val="FF0000"/>
              </w:rPr>
            </w:pPr>
            <w:r>
              <w:rPr>
                <w:b/>
                <w:color w:val="FF0000"/>
              </w:rPr>
              <w:t xml:space="preserve">  </w:t>
            </w:r>
            <w:r w:rsidRPr="004F4FA7">
              <w:rPr>
                <w:b/>
                <w:color w:val="FF0000"/>
              </w:rPr>
              <w:t>149,</w:t>
            </w:r>
            <w:r>
              <w:rPr>
                <w:b/>
                <w:color w:val="FF0000"/>
              </w:rPr>
              <w:t>7</w:t>
            </w:r>
          </w:p>
        </w:tc>
        <w:tc>
          <w:tcPr>
            <w:tcW w:w="3071" w:type="dxa"/>
          </w:tcPr>
          <w:p w:rsidR="005159E5" w:rsidRPr="00185227" w:rsidRDefault="005159E5" w:rsidP="0021637A">
            <w:pPr>
              <w:jc w:val="center"/>
            </w:pPr>
            <w:r w:rsidRPr="00185227">
              <w:t>-20,1</w:t>
            </w:r>
          </w:p>
        </w:tc>
      </w:tr>
      <w:tr w:rsidR="005159E5" w:rsidTr="0021637A">
        <w:tc>
          <w:tcPr>
            <w:tcW w:w="3070" w:type="dxa"/>
          </w:tcPr>
          <w:p w:rsidR="005159E5" w:rsidRPr="00537B6A" w:rsidRDefault="005159E5" w:rsidP="0021637A">
            <w:pPr>
              <w:jc w:val="center"/>
              <w:rPr>
                <w:b/>
                <w:color w:val="000000" w:themeColor="text1"/>
              </w:rPr>
            </w:pPr>
            <w:r w:rsidRPr="00537B6A">
              <w:rPr>
                <w:b/>
                <w:color w:val="000000" w:themeColor="text1"/>
              </w:rPr>
              <w:t>BORYSZEW</w:t>
            </w:r>
          </w:p>
        </w:tc>
        <w:tc>
          <w:tcPr>
            <w:tcW w:w="3071" w:type="dxa"/>
          </w:tcPr>
          <w:p w:rsidR="005159E5" w:rsidRPr="004F4FA7" w:rsidRDefault="005159E5" w:rsidP="0021637A">
            <w:pPr>
              <w:jc w:val="center"/>
              <w:rPr>
                <w:b/>
                <w:color w:val="FF0000"/>
              </w:rPr>
            </w:pPr>
            <w:r>
              <w:rPr>
                <w:b/>
                <w:color w:val="FF0000"/>
              </w:rPr>
              <w:t xml:space="preserve">  </w:t>
            </w:r>
            <w:r w:rsidRPr="004F4FA7">
              <w:rPr>
                <w:b/>
                <w:color w:val="FF0000"/>
              </w:rPr>
              <w:t>-15,</w:t>
            </w:r>
            <w:r>
              <w:rPr>
                <w:b/>
                <w:color w:val="FF0000"/>
              </w:rPr>
              <w:t>1</w:t>
            </w:r>
          </w:p>
        </w:tc>
        <w:tc>
          <w:tcPr>
            <w:tcW w:w="3071" w:type="dxa"/>
          </w:tcPr>
          <w:p w:rsidR="005159E5" w:rsidRPr="00185227" w:rsidRDefault="005159E5" w:rsidP="0021637A">
            <w:pPr>
              <w:jc w:val="center"/>
            </w:pPr>
            <w:r w:rsidRPr="00185227">
              <w:t>-15,0</w:t>
            </w:r>
          </w:p>
        </w:tc>
      </w:tr>
      <w:tr w:rsidR="005159E5" w:rsidTr="0021637A">
        <w:tc>
          <w:tcPr>
            <w:tcW w:w="3070" w:type="dxa"/>
          </w:tcPr>
          <w:p w:rsidR="005159E5" w:rsidRPr="00537B6A" w:rsidRDefault="005159E5" w:rsidP="0021637A">
            <w:pPr>
              <w:jc w:val="center"/>
              <w:rPr>
                <w:b/>
                <w:color w:val="000000" w:themeColor="text1"/>
              </w:rPr>
            </w:pPr>
            <w:r w:rsidRPr="00537B6A">
              <w:rPr>
                <w:b/>
                <w:color w:val="000000" w:themeColor="text1"/>
              </w:rPr>
              <w:t>ERBUD</w:t>
            </w:r>
          </w:p>
        </w:tc>
        <w:tc>
          <w:tcPr>
            <w:tcW w:w="3071" w:type="dxa"/>
          </w:tcPr>
          <w:p w:rsidR="005159E5" w:rsidRPr="004F4FA7" w:rsidRDefault="005159E5" w:rsidP="0021637A">
            <w:pPr>
              <w:jc w:val="center"/>
              <w:rPr>
                <w:b/>
                <w:color w:val="FF0000"/>
              </w:rPr>
            </w:pPr>
            <w:r>
              <w:rPr>
                <w:b/>
                <w:color w:val="FF0000"/>
              </w:rPr>
              <w:t xml:space="preserve">    </w:t>
            </w:r>
            <w:r w:rsidRPr="004F4FA7">
              <w:rPr>
                <w:b/>
                <w:color w:val="FF0000"/>
              </w:rPr>
              <w:t>-</w:t>
            </w:r>
            <w:r>
              <w:rPr>
                <w:b/>
                <w:color w:val="FF0000"/>
              </w:rPr>
              <w:t>9,0</w:t>
            </w:r>
          </w:p>
        </w:tc>
        <w:tc>
          <w:tcPr>
            <w:tcW w:w="3071" w:type="dxa"/>
          </w:tcPr>
          <w:p w:rsidR="005159E5" w:rsidRPr="00185227" w:rsidRDefault="005159E5" w:rsidP="0021637A">
            <w:pPr>
              <w:jc w:val="center"/>
            </w:pPr>
            <w:r w:rsidRPr="00185227">
              <w:t>-13,</w:t>
            </w:r>
            <w:r>
              <w:t>7</w:t>
            </w:r>
          </w:p>
        </w:tc>
      </w:tr>
      <w:tr w:rsidR="005159E5" w:rsidTr="0021637A">
        <w:tc>
          <w:tcPr>
            <w:tcW w:w="3070" w:type="dxa"/>
          </w:tcPr>
          <w:p w:rsidR="005159E5" w:rsidRPr="00537B6A" w:rsidRDefault="005159E5" w:rsidP="0021637A">
            <w:pPr>
              <w:jc w:val="center"/>
              <w:rPr>
                <w:b/>
                <w:color w:val="000000" w:themeColor="text1"/>
              </w:rPr>
            </w:pPr>
            <w:r w:rsidRPr="00537B6A">
              <w:rPr>
                <w:b/>
                <w:color w:val="000000" w:themeColor="text1"/>
              </w:rPr>
              <w:t>ENEA</w:t>
            </w:r>
          </w:p>
        </w:tc>
        <w:tc>
          <w:tcPr>
            <w:tcW w:w="3071" w:type="dxa"/>
          </w:tcPr>
          <w:p w:rsidR="005159E5" w:rsidRPr="004F4FA7" w:rsidRDefault="005159E5" w:rsidP="0021637A">
            <w:pPr>
              <w:jc w:val="center"/>
              <w:rPr>
                <w:b/>
                <w:color w:val="FF0000"/>
              </w:rPr>
            </w:pPr>
            <w:r>
              <w:rPr>
                <w:b/>
                <w:color w:val="FF0000"/>
              </w:rPr>
              <w:t xml:space="preserve">  </w:t>
            </w:r>
            <w:r w:rsidRPr="004F4FA7">
              <w:rPr>
                <w:b/>
                <w:color w:val="FF0000"/>
              </w:rPr>
              <w:t>188,4</w:t>
            </w:r>
          </w:p>
        </w:tc>
        <w:tc>
          <w:tcPr>
            <w:tcW w:w="3071" w:type="dxa"/>
          </w:tcPr>
          <w:p w:rsidR="005159E5" w:rsidRPr="00185227" w:rsidRDefault="005159E5" w:rsidP="0021637A">
            <w:pPr>
              <w:jc w:val="center"/>
            </w:pPr>
            <w:r w:rsidRPr="00185227">
              <w:t>-30,1</w:t>
            </w:r>
          </w:p>
        </w:tc>
      </w:tr>
      <w:tr w:rsidR="005159E5" w:rsidTr="0021637A">
        <w:tc>
          <w:tcPr>
            <w:tcW w:w="3070" w:type="dxa"/>
          </w:tcPr>
          <w:p w:rsidR="005159E5" w:rsidRPr="00537B6A" w:rsidRDefault="005159E5" w:rsidP="0021637A">
            <w:pPr>
              <w:jc w:val="center"/>
              <w:rPr>
                <w:b/>
                <w:color w:val="000000" w:themeColor="text1"/>
              </w:rPr>
            </w:pPr>
            <w:r w:rsidRPr="00537B6A">
              <w:rPr>
                <w:b/>
                <w:color w:val="000000" w:themeColor="text1"/>
              </w:rPr>
              <w:t>IF CAPITAL</w:t>
            </w:r>
          </w:p>
        </w:tc>
        <w:tc>
          <w:tcPr>
            <w:tcW w:w="3071" w:type="dxa"/>
          </w:tcPr>
          <w:p w:rsidR="005159E5" w:rsidRPr="004F4FA7" w:rsidRDefault="005159E5" w:rsidP="0021637A">
            <w:pPr>
              <w:jc w:val="center"/>
              <w:rPr>
                <w:b/>
                <w:color w:val="FF0000"/>
              </w:rPr>
            </w:pPr>
            <w:r>
              <w:rPr>
                <w:b/>
                <w:color w:val="FF0000"/>
              </w:rPr>
              <w:t xml:space="preserve">   </w:t>
            </w:r>
            <w:r w:rsidRPr="004F4FA7">
              <w:rPr>
                <w:b/>
                <w:color w:val="FF0000"/>
              </w:rPr>
              <w:t>-48,</w:t>
            </w:r>
            <w:r>
              <w:rPr>
                <w:b/>
                <w:color w:val="FF0000"/>
              </w:rPr>
              <w:t>3</w:t>
            </w:r>
          </w:p>
        </w:tc>
        <w:tc>
          <w:tcPr>
            <w:tcW w:w="3071" w:type="dxa"/>
          </w:tcPr>
          <w:p w:rsidR="005159E5" w:rsidRPr="00185227" w:rsidRDefault="005159E5" w:rsidP="0021637A">
            <w:pPr>
              <w:jc w:val="center"/>
            </w:pPr>
            <w:r w:rsidRPr="00185227">
              <w:t>-13,</w:t>
            </w:r>
            <w:r>
              <w:t>7</w:t>
            </w:r>
          </w:p>
        </w:tc>
      </w:tr>
      <w:tr w:rsidR="005159E5" w:rsidTr="0021637A">
        <w:tc>
          <w:tcPr>
            <w:tcW w:w="3070" w:type="dxa"/>
          </w:tcPr>
          <w:p w:rsidR="005159E5" w:rsidRPr="00537B6A" w:rsidRDefault="005159E5" w:rsidP="0021637A">
            <w:pPr>
              <w:jc w:val="center"/>
              <w:rPr>
                <w:b/>
                <w:color w:val="000000" w:themeColor="text1"/>
              </w:rPr>
            </w:pPr>
            <w:r w:rsidRPr="00537B6A">
              <w:rPr>
                <w:b/>
                <w:color w:val="000000" w:themeColor="text1"/>
              </w:rPr>
              <w:t>CAPITAL PARTNERS</w:t>
            </w:r>
          </w:p>
        </w:tc>
        <w:tc>
          <w:tcPr>
            <w:tcW w:w="3071" w:type="dxa"/>
          </w:tcPr>
          <w:p w:rsidR="005159E5" w:rsidRPr="004F4FA7" w:rsidRDefault="005159E5" w:rsidP="0021637A">
            <w:pPr>
              <w:jc w:val="center"/>
              <w:rPr>
                <w:b/>
                <w:color w:val="FF0000"/>
              </w:rPr>
            </w:pPr>
            <w:r>
              <w:rPr>
                <w:b/>
                <w:color w:val="FF0000"/>
              </w:rPr>
              <w:t xml:space="preserve">  </w:t>
            </w:r>
            <w:r w:rsidRPr="004F4FA7">
              <w:rPr>
                <w:b/>
                <w:color w:val="FF0000"/>
              </w:rPr>
              <w:t>11</w:t>
            </w:r>
            <w:r>
              <w:rPr>
                <w:b/>
                <w:color w:val="FF0000"/>
              </w:rPr>
              <w:t>1,0</w:t>
            </w:r>
          </w:p>
        </w:tc>
        <w:tc>
          <w:tcPr>
            <w:tcW w:w="3071" w:type="dxa"/>
          </w:tcPr>
          <w:p w:rsidR="005159E5" w:rsidRPr="00185227" w:rsidRDefault="005159E5" w:rsidP="0021637A">
            <w:pPr>
              <w:jc w:val="center"/>
            </w:pPr>
            <w:r w:rsidRPr="00185227">
              <w:t>-16,</w:t>
            </w:r>
            <w:r>
              <w:t>2</w:t>
            </w:r>
          </w:p>
        </w:tc>
      </w:tr>
      <w:tr w:rsidR="005159E5" w:rsidTr="0021637A">
        <w:tc>
          <w:tcPr>
            <w:tcW w:w="3070" w:type="dxa"/>
          </w:tcPr>
          <w:p w:rsidR="005159E5" w:rsidRPr="00537B6A" w:rsidRDefault="005159E5" w:rsidP="0021637A">
            <w:pPr>
              <w:jc w:val="center"/>
              <w:rPr>
                <w:b/>
                <w:color w:val="000000" w:themeColor="text1"/>
              </w:rPr>
            </w:pPr>
            <w:r w:rsidRPr="00537B6A">
              <w:rPr>
                <w:b/>
                <w:color w:val="000000" w:themeColor="text1"/>
              </w:rPr>
              <w:t>ASSECO POLAND</w:t>
            </w:r>
          </w:p>
        </w:tc>
        <w:tc>
          <w:tcPr>
            <w:tcW w:w="3071" w:type="dxa"/>
          </w:tcPr>
          <w:p w:rsidR="005159E5" w:rsidRPr="004F4FA7" w:rsidRDefault="005159E5" w:rsidP="0021637A">
            <w:pPr>
              <w:jc w:val="center"/>
              <w:rPr>
                <w:b/>
                <w:color w:val="FF0000"/>
              </w:rPr>
            </w:pPr>
            <w:r>
              <w:rPr>
                <w:b/>
                <w:color w:val="FF0000"/>
              </w:rPr>
              <w:t xml:space="preserve">  </w:t>
            </w:r>
            <w:r w:rsidRPr="004F4FA7">
              <w:rPr>
                <w:b/>
                <w:color w:val="FF0000"/>
              </w:rPr>
              <w:t>103,</w:t>
            </w:r>
            <w:r>
              <w:rPr>
                <w:b/>
                <w:color w:val="FF0000"/>
              </w:rPr>
              <w:t>8</w:t>
            </w:r>
          </w:p>
        </w:tc>
        <w:tc>
          <w:tcPr>
            <w:tcW w:w="3071" w:type="dxa"/>
          </w:tcPr>
          <w:p w:rsidR="005159E5" w:rsidRPr="00185227" w:rsidRDefault="005159E5" w:rsidP="0021637A">
            <w:pPr>
              <w:jc w:val="center"/>
            </w:pPr>
            <w:r w:rsidRPr="00185227">
              <w:t>-15,</w:t>
            </w:r>
            <w:r>
              <w:t>7</w:t>
            </w:r>
          </w:p>
        </w:tc>
      </w:tr>
      <w:tr w:rsidR="005159E5" w:rsidTr="0021637A">
        <w:tc>
          <w:tcPr>
            <w:tcW w:w="3070" w:type="dxa"/>
          </w:tcPr>
          <w:p w:rsidR="005159E5" w:rsidRPr="00537B6A" w:rsidRDefault="005159E5" w:rsidP="0021637A">
            <w:pPr>
              <w:jc w:val="center"/>
              <w:rPr>
                <w:b/>
                <w:color w:val="000000" w:themeColor="text1"/>
              </w:rPr>
            </w:pPr>
            <w:r w:rsidRPr="00537B6A">
              <w:rPr>
                <w:b/>
                <w:color w:val="000000" w:themeColor="text1"/>
              </w:rPr>
              <w:t>CD PROJEKT</w:t>
            </w:r>
          </w:p>
        </w:tc>
        <w:tc>
          <w:tcPr>
            <w:tcW w:w="3071" w:type="dxa"/>
          </w:tcPr>
          <w:p w:rsidR="005159E5" w:rsidRPr="004F4FA7" w:rsidRDefault="005159E5" w:rsidP="0021637A">
            <w:pPr>
              <w:jc w:val="center"/>
              <w:rPr>
                <w:b/>
                <w:color w:val="FF0000"/>
              </w:rPr>
            </w:pPr>
            <w:r>
              <w:rPr>
                <w:b/>
                <w:color w:val="FF0000"/>
              </w:rPr>
              <w:t xml:space="preserve">    </w:t>
            </w:r>
            <w:r w:rsidRPr="004F4FA7">
              <w:rPr>
                <w:b/>
                <w:color w:val="FF0000"/>
              </w:rPr>
              <w:t>32,</w:t>
            </w:r>
            <w:r>
              <w:rPr>
                <w:b/>
                <w:color w:val="FF0000"/>
              </w:rPr>
              <w:t>9</w:t>
            </w:r>
          </w:p>
        </w:tc>
        <w:tc>
          <w:tcPr>
            <w:tcW w:w="3071" w:type="dxa"/>
          </w:tcPr>
          <w:p w:rsidR="005159E5" w:rsidRPr="00185227" w:rsidRDefault="005159E5" w:rsidP="0021637A">
            <w:pPr>
              <w:jc w:val="center"/>
            </w:pPr>
            <w:r w:rsidRPr="00185227">
              <w:t>-15,</w:t>
            </w:r>
            <w:r>
              <w:t>7</w:t>
            </w:r>
          </w:p>
        </w:tc>
      </w:tr>
      <w:tr w:rsidR="005159E5" w:rsidTr="0021637A">
        <w:tc>
          <w:tcPr>
            <w:tcW w:w="3070" w:type="dxa"/>
          </w:tcPr>
          <w:p w:rsidR="005159E5" w:rsidRPr="00537B6A" w:rsidRDefault="005159E5" w:rsidP="0021637A">
            <w:pPr>
              <w:jc w:val="center"/>
              <w:rPr>
                <w:b/>
                <w:color w:val="000000" w:themeColor="text1"/>
              </w:rPr>
            </w:pPr>
            <w:r w:rsidRPr="00537B6A">
              <w:rPr>
                <w:b/>
                <w:color w:val="000000" w:themeColor="text1"/>
              </w:rPr>
              <w:t>SYGNITY</w:t>
            </w:r>
          </w:p>
        </w:tc>
        <w:tc>
          <w:tcPr>
            <w:tcW w:w="3071" w:type="dxa"/>
          </w:tcPr>
          <w:p w:rsidR="005159E5" w:rsidRPr="004F4FA7" w:rsidRDefault="005159E5" w:rsidP="0021637A">
            <w:pPr>
              <w:jc w:val="center"/>
              <w:rPr>
                <w:b/>
                <w:color w:val="FF0000"/>
              </w:rPr>
            </w:pPr>
            <w:r>
              <w:rPr>
                <w:b/>
                <w:color w:val="FF0000"/>
              </w:rPr>
              <w:t xml:space="preserve">   </w:t>
            </w:r>
            <w:r w:rsidRPr="004F4FA7">
              <w:rPr>
                <w:b/>
                <w:color w:val="FF0000"/>
              </w:rPr>
              <w:t>-39,2</w:t>
            </w:r>
          </w:p>
        </w:tc>
        <w:tc>
          <w:tcPr>
            <w:tcW w:w="3071" w:type="dxa"/>
          </w:tcPr>
          <w:p w:rsidR="005159E5" w:rsidRPr="00185227" w:rsidRDefault="005159E5" w:rsidP="0021637A">
            <w:pPr>
              <w:jc w:val="center"/>
            </w:pPr>
            <w:r w:rsidRPr="00185227">
              <w:t>-15,</w:t>
            </w:r>
            <w:r>
              <w:t>7</w:t>
            </w:r>
          </w:p>
        </w:tc>
      </w:tr>
      <w:tr w:rsidR="005159E5" w:rsidTr="0021637A">
        <w:tc>
          <w:tcPr>
            <w:tcW w:w="3070" w:type="dxa"/>
          </w:tcPr>
          <w:p w:rsidR="005159E5" w:rsidRPr="00537B6A" w:rsidRDefault="005159E5" w:rsidP="0021637A">
            <w:pPr>
              <w:jc w:val="center"/>
              <w:rPr>
                <w:b/>
                <w:color w:val="000000" w:themeColor="text1"/>
              </w:rPr>
            </w:pPr>
            <w:r w:rsidRPr="00537B6A">
              <w:rPr>
                <w:b/>
                <w:color w:val="000000" w:themeColor="text1"/>
              </w:rPr>
              <w:t>STALPRODUKT</w:t>
            </w:r>
          </w:p>
        </w:tc>
        <w:tc>
          <w:tcPr>
            <w:tcW w:w="3071" w:type="dxa"/>
          </w:tcPr>
          <w:p w:rsidR="005159E5" w:rsidRPr="004F4FA7" w:rsidRDefault="005159E5" w:rsidP="0021637A">
            <w:pPr>
              <w:jc w:val="center"/>
              <w:rPr>
                <w:b/>
                <w:color w:val="FF0000"/>
              </w:rPr>
            </w:pPr>
            <w:r>
              <w:rPr>
                <w:b/>
                <w:color w:val="FF0000"/>
              </w:rPr>
              <w:t xml:space="preserve">  </w:t>
            </w:r>
            <w:r w:rsidRPr="004F4FA7">
              <w:rPr>
                <w:b/>
                <w:color w:val="FF0000"/>
              </w:rPr>
              <w:t>289,8</w:t>
            </w:r>
          </w:p>
        </w:tc>
        <w:tc>
          <w:tcPr>
            <w:tcW w:w="3071" w:type="dxa"/>
          </w:tcPr>
          <w:p w:rsidR="005159E5" w:rsidRPr="00185227" w:rsidRDefault="005159E5" w:rsidP="0021637A">
            <w:pPr>
              <w:jc w:val="center"/>
            </w:pPr>
            <w:r>
              <w:t xml:space="preserve">  </w:t>
            </w:r>
            <w:r w:rsidRPr="00185227">
              <w:t>-6,6</w:t>
            </w:r>
          </w:p>
        </w:tc>
      </w:tr>
      <w:tr w:rsidR="005159E5" w:rsidTr="0021637A">
        <w:tc>
          <w:tcPr>
            <w:tcW w:w="3070" w:type="dxa"/>
          </w:tcPr>
          <w:p w:rsidR="005159E5" w:rsidRPr="00537B6A" w:rsidRDefault="005159E5" w:rsidP="0021637A">
            <w:pPr>
              <w:jc w:val="center"/>
              <w:rPr>
                <w:b/>
                <w:color w:val="000000" w:themeColor="text1"/>
              </w:rPr>
            </w:pPr>
            <w:r w:rsidRPr="00537B6A">
              <w:rPr>
                <w:b/>
                <w:color w:val="000000" w:themeColor="text1"/>
              </w:rPr>
              <w:t>ELEKTROTIM</w:t>
            </w:r>
          </w:p>
        </w:tc>
        <w:tc>
          <w:tcPr>
            <w:tcW w:w="3071" w:type="dxa"/>
          </w:tcPr>
          <w:p w:rsidR="005159E5" w:rsidRPr="004F4FA7" w:rsidRDefault="005159E5" w:rsidP="0021637A">
            <w:pPr>
              <w:jc w:val="center"/>
              <w:rPr>
                <w:b/>
                <w:color w:val="FF0000"/>
              </w:rPr>
            </w:pPr>
            <w:r>
              <w:rPr>
                <w:b/>
                <w:color w:val="FF0000"/>
              </w:rPr>
              <w:t xml:space="preserve">  </w:t>
            </w:r>
            <w:r w:rsidRPr="004F4FA7">
              <w:rPr>
                <w:b/>
                <w:color w:val="FF0000"/>
              </w:rPr>
              <w:t>118,9</w:t>
            </w:r>
          </w:p>
        </w:tc>
        <w:tc>
          <w:tcPr>
            <w:tcW w:w="3071" w:type="dxa"/>
          </w:tcPr>
          <w:p w:rsidR="005159E5" w:rsidRPr="00185227" w:rsidRDefault="005159E5" w:rsidP="0021637A">
            <w:pPr>
              <w:jc w:val="center"/>
            </w:pPr>
            <w:r>
              <w:t xml:space="preserve">  </w:t>
            </w:r>
            <w:r w:rsidRPr="00185227">
              <w:t>-2,7</w:t>
            </w:r>
          </w:p>
        </w:tc>
      </w:tr>
      <w:tr w:rsidR="005159E5" w:rsidTr="0021637A">
        <w:tc>
          <w:tcPr>
            <w:tcW w:w="3070" w:type="dxa"/>
          </w:tcPr>
          <w:p w:rsidR="005159E5" w:rsidRPr="00537B6A" w:rsidRDefault="005159E5" w:rsidP="0021637A">
            <w:pPr>
              <w:jc w:val="center"/>
              <w:rPr>
                <w:b/>
                <w:color w:val="000000" w:themeColor="text1"/>
              </w:rPr>
            </w:pPr>
            <w:r w:rsidRPr="00537B6A">
              <w:rPr>
                <w:b/>
                <w:color w:val="000000" w:themeColor="text1"/>
              </w:rPr>
              <w:t>RELPOL</w:t>
            </w:r>
          </w:p>
        </w:tc>
        <w:tc>
          <w:tcPr>
            <w:tcW w:w="3071" w:type="dxa"/>
          </w:tcPr>
          <w:p w:rsidR="005159E5" w:rsidRPr="004F4FA7" w:rsidRDefault="005159E5" w:rsidP="0021637A">
            <w:pPr>
              <w:jc w:val="center"/>
              <w:rPr>
                <w:b/>
                <w:color w:val="FF0000"/>
              </w:rPr>
            </w:pPr>
            <w:r>
              <w:rPr>
                <w:b/>
                <w:color w:val="FF0000"/>
              </w:rPr>
              <w:t xml:space="preserve">   </w:t>
            </w:r>
            <w:r w:rsidRPr="004F4FA7">
              <w:rPr>
                <w:b/>
                <w:color w:val="FF0000"/>
              </w:rPr>
              <w:t>-37,3</w:t>
            </w:r>
          </w:p>
        </w:tc>
        <w:tc>
          <w:tcPr>
            <w:tcW w:w="3071" w:type="dxa"/>
          </w:tcPr>
          <w:p w:rsidR="005159E5" w:rsidRPr="00185227" w:rsidRDefault="005159E5" w:rsidP="0021637A">
            <w:pPr>
              <w:jc w:val="center"/>
            </w:pPr>
            <w:r>
              <w:t xml:space="preserve">  </w:t>
            </w:r>
            <w:r w:rsidRPr="00185227">
              <w:t>-2,7</w:t>
            </w:r>
          </w:p>
        </w:tc>
      </w:tr>
      <w:tr w:rsidR="005159E5" w:rsidTr="0021637A">
        <w:tc>
          <w:tcPr>
            <w:tcW w:w="3070" w:type="dxa"/>
          </w:tcPr>
          <w:p w:rsidR="005159E5" w:rsidRPr="00537B6A" w:rsidRDefault="005159E5" w:rsidP="0021637A">
            <w:pPr>
              <w:jc w:val="center"/>
              <w:rPr>
                <w:b/>
                <w:color w:val="000000" w:themeColor="text1"/>
              </w:rPr>
            </w:pPr>
            <w:r w:rsidRPr="00537B6A">
              <w:rPr>
                <w:b/>
                <w:color w:val="000000" w:themeColor="text1"/>
              </w:rPr>
              <w:t>TAURON POLSKA ENERGIA</w:t>
            </w:r>
          </w:p>
        </w:tc>
        <w:tc>
          <w:tcPr>
            <w:tcW w:w="3071" w:type="dxa"/>
          </w:tcPr>
          <w:p w:rsidR="005159E5" w:rsidRPr="004F4FA7" w:rsidRDefault="005159E5" w:rsidP="0021637A">
            <w:pPr>
              <w:jc w:val="center"/>
              <w:rPr>
                <w:b/>
                <w:color w:val="FF0000"/>
              </w:rPr>
            </w:pPr>
            <w:r>
              <w:rPr>
                <w:b/>
                <w:color w:val="FF0000"/>
              </w:rPr>
              <w:t xml:space="preserve">    </w:t>
            </w:r>
            <w:r w:rsidRPr="004F4FA7">
              <w:rPr>
                <w:b/>
                <w:color w:val="FF0000"/>
              </w:rPr>
              <w:t>-5,</w:t>
            </w:r>
            <w:r>
              <w:rPr>
                <w:b/>
                <w:color w:val="FF0000"/>
              </w:rPr>
              <w:t>5</w:t>
            </w:r>
          </w:p>
        </w:tc>
        <w:tc>
          <w:tcPr>
            <w:tcW w:w="3071" w:type="dxa"/>
          </w:tcPr>
          <w:p w:rsidR="005159E5" w:rsidRPr="00185227" w:rsidRDefault="005159E5" w:rsidP="0021637A">
            <w:pPr>
              <w:jc w:val="center"/>
            </w:pPr>
            <w:r>
              <w:t xml:space="preserve">   </w:t>
            </w:r>
            <w:r w:rsidRPr="00185227">
              <w:t>6,</w:t>
            </w:r>
            <w:r>
              <w:t>3</w:t>
            </w:r>
          </w:p>
        </w:tc>
      </w:tr>
      <w:tr w:rsidR="005159E5" w:rsidTr="0021637A">
        <w:tc>
          <w:tcPr>
            <w:tcW w:w="3070" w:type="dxa"/>
          </w:tcPr>
          <w:p w:rsidR="005159E5" w:rsidRPr="00537B6A" w:rsidRDefault="005159E5" w:rsidP="0021637A">
            <w:pPr>
              <w:jc w:val="center"/>
              <w:rPr>
                <w:b/>
                <w:color w:val="000000" w:themeColor="text1"/>
              </w:rPr>
            </w:pPr>
            <w:r w:rsidRPr="00537B6A">
              <w:rPr>
                <w:b/>
                <w:color w:val="000000" w:themeColor="text1"/>
              </w:rPr>
              <w:t>TESGAS</w:t>
            </w:r>
          </w:p>
        </w:tc>
        <w:tc>
          <w:tcPr>
            <w:tcW w:w="3071" w:type="dxa"/>
          </w:tcPr>
          <w:p w:rsidR="005159E5" w:rsidRPr="004F4FA7" w:rsidRDefault="005159E5" w:rsidP="0021637A">
            <w:pPr>
              <w:jc w:val="center"/>
              <w:rPr>
                <w:b/>
                <w:color w:val="FF0000"/>
              </w:rPr>
            </w:pPr>
            <w:r w:rsidRPr="004F4FA7">
              <w:rPr>
                <w:b/>
                <w:color w:val="FF0000"/>
              </w:rPr>
              <w:t>-100</w:t>
            </w:r>
            <w:r>
              <w:rPr>
                <w:b/>
                <w:color w:val="FF0000"/>
              </w:rPr>
              <w:t>,0</w:t>
            </w:r>
          </w:p>
        </w:tc>
        <w:tc>
          <w:tcPr>
            <w:tcW w:w="3071" w:type="dxa"/>
          </w:tcPr>
          <w:p w:rsidR="005159E5" w:rsidRDefault="005159E5" w:rsidP="0021637A">
            <w:pPr>
              <w:jc w:val="center"/>
            </w:pPr>
            <w:r>
              <w:t xml:space="preserve"> </w:t>
            </w:r>
            <w:r w:rsidRPr="00185227">
              <w:t>-4,5</w:t>
            </w:r>
          </w:p>
        </w:tc>
      </w:tr>
      <w:tr w:rsidR="005159E5" w:rsidTr="0021637A">
        <w:tc>
          <w:tcPr>
            <w:tcW w:w="3070" w:type="dxa"/>
          </w:tcPr>
          <w:p w:rsidR="005159E5" w:rsidRPr="00537B6A" w:rsidRDefault="005159E5" w:rsidP="0021637A">
            <w:pPr>
              <w:pStyle w:val="Bezodstpw"/>
              <w:jc w:val="center"/>
              <w:rPr>
                <w:b/>
                <w:color w:val="000000" w:themeColor="text1"/>
                <w:sz w:val="48"/>
                <w:szCs w:val="48"/>
              </w:rPr>
            </w:pPr>
            <w:r w:rsidRPr="00537B6A">
              <w:rPr>
                <w:b/>
                <w:color w:val="000000" w:themeColor="text1"/>
                <w:sz w:val="48"/>
                <w:szCs w:val="48"/>
              </w:rPr>
              <w:t>Średnia</w:t>
            </w:r>
          </w:p>
        </w:tc>
        <w:tc>
          <w:tcPr>
            <w:tcW w:w="3071" w:type="dxa"/>
          </w:tcPr>
          <w:p w:rsidR="005159E5" w:rsidRPr="004F4FA7" w:rsidRDefault="005159E5" w:rsidP="0021637A">
            <w:pPr>
              <w:jc w:val="center"/>
              <w:rPr>
                <w:b/>
                <w:color w:val="FF0000"/>
                <w:sz w:val="44"/>
                <w:szCs w:val="44"/>
              </w:rPr>
            </w:pPr>
            <w:r w:rsidRPr="004F4FA7">
              <w:rPr>
                <w:b/>
                <w:color w:val="FF0000"/>
                <w:sz w:val="44"/>
                <w:szCs w:val="44"/>
              </w:rPr>
              <w:t>47,9</w:t>
            </w:r>
          </w:p>
        </w:tc>
        <w:tc>
          <w:tcPr>
            <w:tcW w:w="3071" w:type="dxa"/>
          </w:tcPr>
          <w:p w:rsidR="005159E5" w:rsidRPr="004F4FA7" w:rsidRDefault="005159E5" w:rsidP="0021637A">
            <w:pPr>
              <w:jc w:val="center"/>
              <w:rPr>
                <w:sz w:val="44"/>
                <w:szCs w:val="44"/>
              </w:rPr>
            </w:pPr>
            <w:r w:rsidRPr="004F4FA7">
              <w:rPr>
                <w:sz w:val="44"/>
                <w:szCs w:val="44"/>
              </w:rPr>
              <w:t>-13,</w:t>
            </w:r>
            <w:r>
              <w:rPr>
                <w:sz w:val="44"/>
                <w:szCs w:val="44"/>
              </w:rPr>
              <w:t>3</w:t>
            </w:r>
          </w:p>
        </w:tc>
      </w:tr>
    </w:tbl>
    <w:p w:rsidR="005159E5" w:rsidRDefault="005159E5" w:rsidP="005159E5">
      <w:pPr>
        <w:pStyle w:val="Bezodstpw"/>
        <w:jc w:val="both"/>
      </w:pPr>
    </w:p>
    <w:p w:rsidR="005159E5" w:rsidRDefault="005159E5" w:rsidP="005159E5">
      <w:pPr>
        <w:pStyle w:val="Bezodstpw"/>
        <w:jc w:val="both"/>
      </w:pPr>
      <w:r w:rsidRPr="007D5887">
        <w:rPr>
          <w:u w:val="single"/>
        </w:rPr>
        <w:t xml:space="preserve">Co to znaczy </w:t>
      </w:r>
      <w:r w:rsidRPr="007D5887">
        <w:rPr>
          <w:b/>
          <w:u w:val="single"/>
        </w:rPr>
        <w:t>,,w odniesieniu do okresu 12-miesięcznego”</w:t>
      </w:r>
      <w:r w:rsidRPr="007D5887">
        <w:rPr>
          <w:u w:val="single"/>
        </w:rPr>
        <w:t xml:space="preserve"> ?</w:t>
      </w:r>
      <w:r>
        <w:t xml:space="preserve"> Dam przykład - w poprzednim roku odbyło się 238 sesji (dla uproszczenie przyjmijmy, że tyle sesji odbywa się średnio w roku). </w:t>
      </w:r>
    </w:p>
    <w:p w:rsidR="005159E5" w:rsidRDefault="005159E5" w:rsidP="005159E5">
      <w:pPr>
        <w:pStyle w:val="Bezodstpw"/>
        <w:jc w:val="both"/>
      </w:pPr>
    </w:p>
    <w:p w:rsidR="005159E5" w:rsidRDefault="005159E5" w:rsidP="005159E5">
      <w:pPr>
        <w:pStyle w:val="Bezodstpw"/>
        <w:jc w:val="both"/>
      </w:pPr>
      <w:r>
        <w:t xml:space="preserve">Jeżeli na przykład okres pomiędzy sesją bezpośrednio poprzedzającą dzień, w którym akcje znalazły się w rubryce ,,Wykres do przemyślenia” a 28 listopada 2014 roku wynosił powiedzmy 53 sesje i w tym okresie kurs akcji zwyżkował 5,0 % to wówczas procentowa zmiana kursu akcji w odniesieniu do okresu 12-miesięcznego wynosi w zaokrągleniu 22,5 % = (238/53)*5. Jest to oczywiście tylko przykład. </w:t>
      </w:r>
    </w:p>
    <w:p w:rsidR="005159E5" w:rsidRDefault="005159E5" w:rsidP="005159E5">
      <w:pPr>
        <w:pStyle w:val="Bezodstpw"/>
        <w:jc w:val="both"/>
      </w:pPr>
    </w:p>
    <w:p w:rsidR="005159E5" w:rsidRDefault="005159E5" w:rsidP="005159E5">
      <w:pPr>
        <w:pStyle w:val="Bezodstpw"/>
        <w:jc w:val="both"/>
      </w:pPr>
      <w:r>
        <w:lastRenderedPageBreak/>
        <w:t xml:space="preserve">Jeżeli na przykład okres pomiędzy sesją bezpośrednio poprzedzającą dzień, w którym akcje znalazły się w rubryce ,,Wykres do przemyślenia” a 28 listopada 2014 roku wynosił powiedzmy 53 sesje i w tym okresie kurs akcji zniżkował  5,0 % to wówczas procentowa zmiana kursu akcji w odniesieniu do okresu 12-miesięcznego wynosi w zaokrągleniu minus 22,5 % = (238/53)*minus 5. Jest to oczywiście tylko przykład. </w:t>
      </w:r>
    </w:p>
    <w:p w:rsidR="005159E5" w:rsidRDefault="005159E5" w:rsidP="005159E5">
      <w:pPr>
        <w:pStyle w:val="Bezodstpw"/>
        <w:jc w:val="both"/>
      </w:pPr>
    </w:p>
    <w:p w:rsidR="005159E5" w:rsidRPr="002D211E" w:rsidRDefault="005159E5" w:rsidP="005159E5">
      <w:pPr>
        <w:pStyle w:val="Bezodstpw"/>
        <w:jc w:val="both"/>
        <w:rPr>
          <w:b/>
          <w:color w:val="FF0000"/>
        </w:rPr>
      </w:pPr>
      <w:r w:rsidRPr="002D211E">
        <w:rPr>
          <w:color w:val="000000" w:themeColor="text1"/>
        </w:rPr>
        <w:t xml:space="preserve"> Średnia procentowa zmiana kursu akcji spółki od sesji bezpośrednio poprzedzającej dzień, w którym akcje spółki znalazły się w rubryce </w:t>
      </w:r>
      <w:r w:rsidRPr="002D211E">
        <w:rPr>
          <w:b/>
          <w:color w:val="000000" w:themeColor="text1"/>
        </w:rPr>
        <w:t>,,Wykres do przemyślenia”</w:t>
      </w:r>
      <w:r w:rsidRPr="002D211E">
        <w:rPr>
          <w:color w:val="000000" w:themeColor="text1"/>
        </w:rPr>
        <w:t xml:space="preserve"> do 21 listopada 2014 roku w odniesieniu do okresu 12 miesięcznego wyniosła dla grupy 17 spółek </w:t>
      </w:r>
      <w:r w:rsidRPr="002D211E">
        <w:rPr>
          <w:b/>
          <w:color w:val="FF0000"/>
        </w:rPr>
        <w:t xml:space="preserve">plus </w:t>
      </w:r>
      <w:r>
        <w:rPr>
          <w:b/>
          <w:color w:val="FF0000"/>
        </w:rPr>
        <w:t>47,9</w:t>
      </w:r>
      <w:r w:rsidRPr="002D211E">
        <w:rPr>
          <w:b/>
          <w:color w:val="FF0000"/>
        </w:rPr>
        <w:t xml:space="preserve"> %. </w:t>
      </w:r>
    </w:p>
    <w:p w:rsidR="005159E5" w:rsidRDefault="005159E5" w:rsidP="005159E5">
      <w:pPr>
        <w:pStyle w:val="Bezodstpw"/>
        <w:jc w:val="both"/>
      </w:pPr>
    </w:p>
    <w:p w:rsidR="005159E5" w:rsidRPr="002D211E" w:rsidRDefault="005159E5" w:rsidP="005159E5">
      <w:pPr>
        <w:pStyle w:val="Bezodstpw"/>
        <w:jc w:val="both"/>
        <w:rPr>
          <w:b/>
          <w:color w:val="000000" w:themeColor="text1"/>
        </w:rPr>
      </w:pPr>
      <w:r w:rsidRPr="002D211E">
        <w:rPr>
          <w:color w:val="000000" w:themeColor="text1"/>
        </w:rPr>
        <w:t xml:space="preserve">Średnia procentowa zmiana indeksu WIG 20 w analogicznym okresie w odniesieniu do okresu 12 miesięcznego wyniosła dla grupy 17 spółek </w:t>
      </w:r>
      <w:r w:rsidRPr="002D211E">
        <w:rPr>
          <w:b/>
          <w:color w:val="000000" w:themeColor="text1"/>
        </w:rPr>
        <w:t>minus 1</w:t>
      </w:r>
      <w:r>
        <w:rPr>
          <w:b/>
          <w:color w:val="000000" w:themeColor="text1"/>
        </w:rPr>
        <w:t>3</w:t>
      </w:r>
      <w:r w:rsidRPr="002D211E">
        <w:rPr>
          <w:b/>
          <w:color w:val="000000" w:themeColor="text1"/>
        </w:rPr>
        <w:t>,</w:t>
      </w:r>
      <w:r>
        <w:rPr>
          <w:b/>
          <w:color w:val="000000" w:themeColor="text1"/>
        </w:rPr>
        <w:t>3</w:t>
      </w:r>
      <w:r w:rsidRPr="002D211E">
        <w:rPr>
          <w:b/>
          <w:color w:val="000000" w:themeColor="text1"/>
        </w:rPr>
        <w:t xml:space="preserve"> %</w:t>
      </w:r>
    </w:p>
    <w:p w:rsidR="005159E5" w:rsidRDefault="005159E5" w:rsidP="005159E5">
      <w:pPr>
        <w:pStyle w:val="Bezodstpw"/>
        <w:jc w:val="both"/>
        <w:rPr>
          <w:color w:val="000000" w:themeColor="text1"/>
        </w:rPr>
      </w:pPr>
    </w:p>
    <w:p w:rsidR="005159E5" w:rsidRDefault="005159E5" w:rsidP="005159E5">
      <w:pPr>
        <w:pStyle w:val="Bezodstpw"/>
        <w:jc w:val="both"/>
        <w:rPr>
          <w:color w:val="000000" w:themeColor="text1"/>
        </w:rPr>
      </w:pPr>
      <w:r>
        <w:rPr>
          <w:color w:val="000000" w:themeColor="text1"/>
        </w:rPr>
        <w:t xml:space="preserve">Różnica wyniosła + 61,2 punktu procentowego. </w:t>
      </w:r>
    </w:p>
    <w:p w:rsidR="005159E5" w:rsidRDefault="005159E5" w:rsidP="005159E5">
      <w:pPr>
        <w:pStyle w:val="Bezodstpw"/>
        <w:jc w:val="both"/>
        <w:rPr>
          <w:color w:val="000000" w:themeColor="text1"/>
        </w:rPr>
      </w:pPr>
    </w:p>
    <w:p w:rsidR="005159E5" w:rsidRPr="002D211E" w:rsidRDefault="005159E5" w:rsidP="005159E5">
      <w:pPr>
        <w:pStyle w:val="Bezodstpw"/>
        <w:jc w:val="both"/>
        <w:rPr>
          <w:color w:val="000000" w:themeColor="text1"/>
        </w:rPr>
      </w:pPr>
      <w:r>
        <w:rPr>
          <w:color w:val="000000" w:themeColor="text1"/>
        </w:rPr>
        <w:t xml:space="preserve">Czy to znaczy, że można spodziewać się, że procentowa zmiana kursu akcji spółki, która znajdzie się w rubryce ,,Wykres do przemyślenia” będzie o 47,9 punktu procentowego lepsza od WIG 20 w okresie 12-miesięcznym od sesji bezpośrednio poprzedzającej dzień, w którym akcja spółki znalazła się w tej rubryce ? </w:t>
      </w:r>
      <w:r w:rsidRPr="007D5887">
        <w:rPr>
          <w:b/>
          <w:color w:val="000000" w:themeColor="text1"/>
        </w:rPr>
        <w:t>Nie!.</w:t>
      </w:r>
      <w:r>
        <w:rPr>
          <w:color w:val="000000" w:themeColor="text1"/>
        </w:rPr>
        <w:t xml:space="preserve"> Byłoby to stanowczo zbyt duże  uproszczenie. </w:t>
      </w:r>
    </w:p>
    <w:p w:rsidR="005159E5" w:rsidRDefault="005159E5" w:rsidP="005159E5">
      <w:pPr>
        <w:pStyle w:val="Bezodstpw"/>
        <w:jc w:val="both"/>
      </w:pPr>
      <w:r>
        <w:t>Niemniej jednak warto będzie śledzić dalsze losy kursów akcji spółek, których akcje znalazły się już znajdą w rubryce ,,Wykres do przemyślenia”.</w:t>
      </w:r>
    </w:p>
    <w:p w:rsidR="005159E5" w:rsidRDefault="005159E5" w:rsidP="005159E5">
      <w:pPr>
        <w:pStyle w:val="Bezodstpw"/>
        <w:jc w:val="both"/>
      </w:pPr>
    </w:p>
    <w:p w:rsidR="005159E5" w:rsidRDefault="005159E5" w:rsidP="005159E5">
      <w:pPr>
        <w:pStyle w:val="Bezodstpw"/>
        <w:jc w:val="both"/>
      </w:pPr>
      <w:r>
        <w:t>Warto będzie przede wszystkim obserwować jaka jest wartość formacji podwójnego dna jako formacji odwracania trendu spadkowego na wzrostowy…</w:t>
      </w:r>
    </w:p>
    <w:p w:rsidR="005159E5" w:rsidRDefault="005159E5" w:rsidP="005159E5">
      <w:pPr>
        <w:pStyle w:val="Bezodstpw"/>
        <w:jc w:val="both"/>
      </w:pPr>
    </w:p>
    <w:p w:rsidR="005159E5" w:rsidRDefault="005159E5" w:rsidP="005159E5">
      <w:pPr>
        <w:pStyle w:val="Bezodstpw"/>
        <w:pBdr>
          <w:top w:val="single" w:sz="4" w:space="1" w:color="auto"/>
          <w:left w:val="single" w:sz="4" w:space="4" w:color="auto"/>
          <w:bottom w:val="single" w:sz="4" w:space="1" w:color="auto"/>
          <w:right w:val="single" w:sz="4" w:space="4" w:color="auto"/>
        </w:pBdr>
        <w:jc w:val="center"/>
      </w:pPr>
      <w:r>
        <w:t>Wykres do przemyślenia</w:t>
      </w:r>
    </w:p>
    <w:p w:rsidR="005159E5" w:rsidRDefault="005159E5" w:rsidP="005159E5">
      <w:pPr>
        <w:pStyle w:val="Bezodstpw"/>
        <w:jc w:val="both"/>
      </w:pPr>
    </w:p>
    <w:p w:rsidR="005159E5" w:rsidRDefault="005159E5" w:rsidP="005159E5">
      <w:pPr>
        <w:pStyle w:val="Bezodstpw"/>
        <w:jc w:val="both"/>
      </w:pPr>
      <w:r>
        <w:t xml:space="preserve">Dziś w rubryce ,,Wykres do przemyślenia” umieszczam akcje spółki </w:t>
      </w:r>
      <w:proofErr w:type="spellStart"/>
      <w:r w:rsidRPr="003A0A08">
        <w:rPr>
          <w:b/>
          <w:u w:val="single"/>
        </w:rPr>
        <w:t>Procad</w:t>
      </w:r>
      <w:proofErr w:type="spellEnd"/>
      <w:r w:rsidRPr="00BD3C08">
        <w:rPr>
          <w:b/>
        </w:rPr>
        <w:t>,</w:t>
      </w:r>
      <w:r>
        <w:t xml:space="preserve"> które wybiły się z formacji podwójnego dna.</w:t>
      </w:r>
    </w:p>
    <w:p w:rsidR="005159E5" w:rsidRDefault="005159E5" w:rsidP="005159E5">
      <w:pPr>
        <w:pStyle w:val="Bezodstpw"/>
        <w:jc w:val="both"/>
      </w:pPr>
    </w:p>
    <w:p w:rsidR="005159E5" w:rsidRPr="001A55A7" w:rsidRDefault="005159E5" w:rsidP="005159E5">
      <w:pPr>
        <w:pStyle w:val="Bezodstpw"/>
        <w:jc w:val="both"/>
        <w:rPr>
          <w:b/>
          <w:u w:val="single"/>
        </w:rPr>
      </w:pPr>
      <w:r>
        <w:rPr>
          <w:b/>
          <w:u w:val="single"/>
        </w:rPr>
        <w:t>PROCAD</w:t>
      </w:r>
    </w:p>
    <w:p w:rsidR="005159E5" w:rsidRDefault="005159E5" w:rsidP="005159E5">
      <w:pPr>
        <w:pStyle w:val="Bezodstpw"/>
      </w:pPr>
    </w:p>
    <w:p w:rsidR="005159E5" w:rsidRDefault="005159E5" w:rsidP="005159E5">
      <w:pPr>
        <w:pStyle w:val="Bezodstpw"/>
        <w:jc w:val="both"/>
      </w:pPr>
      <w:r>
        <w:rPr>
          <w:noProof/>
        </w:rPr>
        <w:drawing>
          <wp:inline distT="0" distB="0" distL="0" distR="0">
            <wp:extent cx="4800600" cy="2895600"/>
            <wp:effectExtent l="19050" t="0" r="0" b="0"/>
            <wp:docPr id="1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800600" cy="2895600"/>
                    </a:xfrm>
                    <a:prstGeom prst="rect">
                      <a:avLst/>
                    </a:prstGeom>
                    <a:noFill/>
                  </pic:spPr>
                </pic:pic>
              </a:graphicData>
            </a:graphic>
          </wp:inline>
        </w:drawing>
      </w:r>
    </w:p>
    <w:p w:rsidR="005159E5" w:rsidRDefault="005159E5" w:rsidP="005159E5">
      <w:pPr>
        <w:pStyle w:val="Bezodstpw"/>
        <w:jc w:val="both"/>
      </w:pPr>
    </w:p>
    <w:p w:rsidR="005159E5" w:rsidRDefault="005159E5" w:rsidP="005159E5">
      <w:pPr>
        <w:pStyle w:val="Bezodstpw"/>
        <w:jc w:val="both"/>
      </w:pPr>
      <w:r>
        <w:lastRenderedPageBreak/>
        <w:t xml:space="preserve">Gdyby formacja podwójnego dna miała się wypełnić oznaczałoby to wzrost kursu do 1 złotego i 18 groszy. </w:t>
      </w:r>
    </w:p>
    <w:p w:rsidR="005159E5" w:rsidRDefault="005159E5" w:rsidP="005159E5">
      <w:pPr>
        <w:pStyle w:val="Bezodstpw"/>
        <w:jc w:val="both"/>
      </w:pPr>
    </w:p>
    <w:p w:rsidR="005159E5" w:rsidRDefault="005159E5" w:rsidP="005159E5">
      <w:pPr>
        <w:pStyle w:val="Bezodstpw"/>
        <w:jc w:val="both"/>
      </w:pPr>
      <w:r>
        <w:t xml:space="preserve">Warto jednak pamiętać, że </w:t>
      </w:r>
      <w:r w:rsidRPr="003D7CD1">
        <w:rPr>
          <w:b/>
        </w:rPr>
        <w:t>,,wypełnienie się”</w:t>
      </w:r>
      <w:r>
        <w:t xml:space="preserve"> formacji jest tylko </w:t>
      </w:r>
      <w:r w:rsidRPr="003D7CD1">
        <w:rPr>
          <w:b/>
          <w:u w:val="single"/>
        </w:rPr>
        <w:t>podstawowym, minimalnym</w:t>
      </w:r>
      <w:r>
        <w:t xml:space="preserve"> zadaniem formacji podwójnego dna. Formacja podwójnego dna jest bowiem po prostu formacją zmiany trendu spadkowego na wzrostowy. </w:t>
      </w:r>
    </w:p>
    <w:p w:rsidR="005159E5" w:rsidRDefault="005159E5" w:rsidP="005159E5">
      <w:pPr>
        <w:pStyle w:val="Bezodstpw"/>
        <w:jc w:val="both"/>
      </w:pPr>
    </w:p>
    <w:p w:rsidR="005159E5" w:rsidRDefault="005159E5" w:rsidP="005159E5">
      <w:pPr>
        <w:pStyle w:val="Bezodstpw"/>
        <w:jc w:val="both"/>
        <w:rPr>
          <w:noProof/>
        </w:rPr>
      </w:pPr>
      <w:r>
        <w:rPr>
          <w:noProof/>
        </w:rPr>
        <w:t xml:space="preserve">Z punktu widzenia wskaźników rynku kapitalowego akcje spólki Procad wycenione są w przypadku wskaźnika </w:t>
      </w:r>
      <w:r w:rsidRPr="001E4F34">
        <w:rPr>
          <w:b/>
          <w:noProof/>
        </w:rPr>
        <w:t>C/Z (</w:t>
      </w:r>
      <w:r>
        <w:rPr>
          <w:b/>
          <w:noProof/>
        </w:rPr>
        <w:t>9,2</w:t>
      </w:r>
      <w:r w:rsidRPr="001E4F34">
        <w:rPr>
          <w:b/>
          <w:noProof/>
        </w:rPr>
        <w:t>)</w:t>
      </w:r>
      <w:r>
        <w:rPr>
          <w:noProof/>
        </w:rPr>
        <w:t xml:space="preserve"> na poziomie niższym od średniego poziomu tego wskażnika dla polskiego rynku akcji (28,7).</w:t>
      </w:r>
    </w:p>
    <w:p w:rsidR="005159E5" w:rsidRDefault="005159E5" w:rsidP="005159E5">
      <w:pPr>
        <w:pStyle w:val="Bezodstpw"/>
        <w:jc w:val="both"/>
        <w:rPr>
          <w:noProof/>
        </w:rPr>
      </w:pPr>
    </w:p>
    <w:p w:rsidR="005159E5" w:rsidRDefault="005159E5" w:rsidP="005159E5">
      <w:pPr>
        <w:pStyle w:val="Bezodstpw"/>
        <w:jc w:val="both"/>
        <w:rPr>
          <w:noProof/>
        </w:rPr>
      </w:pPr>
      <w:r>
        <w:rPr>
          <w:noProof/>
        </w:rPr>
        <w:t xml:space="preserve">Także z punktu widzenia wskaźnika </w:t>
      </w:r>
      <w:r w:rsidRPr="001E4F34">
        <w:rPr>
          <w:b/>
          <w:noProof/>
        </w:rPr>
        <w:t>C/WK (0,65)</w:t>
      </w:r>
      <w:r>
        <w:rPr>
          <w:noProof/>
        </w:rPr>
        <w:t xml:space="preserve"> akcje tej spólki wycenione są na poziomie niższym od średniego poziomu tego wskażnika dla polskiego rynku akcji (1,09).</w:t>
      </w:r>
    </w:p>
    <w:p w:rsidR="005159E5" w:rsidRDefault="005159E5" w:rsidP="005159E5">
      <w:pPr>
        <w:pStyle w:val="Bezodstpw"/>
        <w:jc w:val="both"/>
        <w:rPr>
          <w:noProof/>
        </w:rPr>
      </w:pPr>
    </w:p>
    <w:p w:rsidR="005159E5" w:rsidRDefault="005159E5" w:rsidP="005159E5">
      <w:pPr>
        <w:pStyle w:val="Bezodstpw"/>
        <w:jc w:val="both"/>
        <w:rPr>
          <w:noProof/>
        </w:rPr>
      </w:pPr>
      <w:r>
        <w:rPr>
          <w:noProof/>
        </w:rPr>
        <w:t xml:space="preserve">Z kolei z punktu widzenia wskaźnika </w:t>
      </w:r>
      <w:r w:rsidRPr="001E4F34">
        <w:rPr>
          <w:b/>
          <w:noProof/>
        </w:rPr>
        <w:t>stopy dywidendy (</w:t>
      </w:r>
      <w:r>
        <w:rPr>
          <w:b/>
          <w:noProof/>
        </w:rPr>
        <w:t>5</w:t>
      </w:r>
      <w:r w:rsidRPr="001E4F34">
        <w:rPr>
          <w:b/>
          <w:noProof/>
        </w:rPr>
        <w:t>,</w:t>
      </w:r>
      <w:r>
        <w:rPr>
          <w:b/>
          <w:noProof/>
        </w:rPr>
        <w:t>7</w:t>
      </w:r>
      <w:r w:rsidRPr="001E4F34">
        <w:rPr>
          <w:b/>
          <w:noProof/>
        </w:rPr>
        <w:t>%)</w:t>
      </w:r>
      <w:r>
        <w:rPr>
          <w:noProof/>
        </w:rPr>
        <w:t xml:space="preserve"> akcje tej spólki wycenione są na poziomie wyższym od średniego poziomu tego wskażnika dla polskiego rynku akcji (3,2 %). </w:t>
      </w:r>
    </w:p>
    <w:p w:rsidR="005159E5" w:rsidRDefault="005159E5" w:rsidP="005159E5">
      <w:pPr>
        <w:pStyle w:val="Bezodstpw"/>
        <w:jc w:val="both"/>
        <w:rPr>
          <w:noProof/>
        </w:rPr>
      </w:pPr>
    </w:p>
    <w:p w:rsidR="005159E5" w:rsidRDefault="005159E5" w:rsidP="005159E5">
      <w:pPr>
        <w:pStyle w:val="Bezodstpw"/>
        <w:jc w:val="both"/>
      </w:pPr>
      <w:r>
        <w:t>Warto zauważyć, że spółka w III kwartale 2014 roku zaprezentowała zysk netto wyższy prawie 8-krotnie wyższy niż w analogicznym kwartale roku poprzedniego. 9-kronie powiększył się także zysk operacyjny. Co bardzo ważne reakcja uczestników rynku była bardzo pozytywna !</w:t>
      </w:r>
    </w:p>
    <w:p w:rsidR="005159E5" w:rsidRDefault="005159E5" w:rsidP="005159E5">
      <w:pPr>
        <w:pStyle w:val="Bezodstpw"/>
        <w:jc w:val="both"/>
      </w:pPr>
      <w:r>
        <w:t xml:space="preserve">Popatrzmy na poniższy wykres. </w:t>
      </w:r>
    </w:p>
    <w:p w:rsidR="005159E5" w:rsidRDefault="005159E5" w:rsidP="005159E5">
      <w:pPr>
        <w:pStyle w:val="Bezodstpw"/>
        <w:jc w:val="both"/>
      </w:pPr>
    </w:p>
    <w:p w:rsidR="005159E5" w:rsidRDefault="005159E5" w:rsidP="005159E5">
      <w:r>
        <w:rPr>
          <w:noProof/>
        </w:rPr>
        <w:drawing>
          <wp:inline distT="0" distB="0" distL="0" distR="0">
            <wp:extent cx="4800600" cy="2895600"/>
            <wp:effectExtent l="19050" t="0" r="0" b="0"/>
            <wp:docPr id="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800600" cy="2895600"/>
                    </a:xfrm>
                    <a:prstGeom prst="rect">
                      <a:avLst/>
                    </a:prstGeom>
                    <a:noFill/>
                  </pic:spPr>
                </pic:pic>
              </a:graphicData>
            </a:graphic>
          </wp:inline>
        </w:drawing>
      </w:r>
    </w:p>
    <w:p w:rsidR="005159E5" w:rsidRDefault="005159E5" w:rsidP="005159E5">
      <w:pPr>
        <w:pStyle w:val="Bezodstpw"/>
        <w:jc w:val="both"/>
      </w:pPr>
      <w:r>
        <w:t xml:space="preserve">Dzień zaprezentowania tych wyników finansowych (7 listopada) zaznaczyłem pionową linią. </w:t>
      </w:r>
    </w:p>
    <w:p w:rsidR="005159E5" w:rsidRDefault="005159E5" w:rsidP="005159E5">
      <w:pPr>
        <w:pStyle w:val="Bezodstpw"/>
        <w:jc w:val="both"/>
      </w:pPr>
    </w:p>
    <w:p w:rsidR="005159E5" w:rsidRDefault="005159E5" w:rsidP="005159E5">
      <w:pPr>
        <w:pStyle w:val="Bezodstpw"/>
        <w:jc w:val="both"/>
      </w:pPr>
      <w:r>
        <w:t xml:space="preserve">Co jest w tym wszystkim ważne ? </w:t>
      </w:r>
      <w:r w:rsidRPr="009D6580">
        <w:rPr>
          <w:b/>
          <w:u w:val="single"/>
        </w:rPr>
        <w:t xml:space="preserve">Reakcja </w:t>
      </w:r>
      <w:r>
        <w:t xml:space="preserve">uczestników rynku, którzy zaczęli bardzo intensywnie kupować akcje spółki. </w:t>
      </w:r>
    </w:p>
    <w:p w:rsidR="005159E5" w:rsidRDefault="005159E5" w:rsidP="005159E5">
      <w:pPr>
        <w:pStyle w:val="Bezodstpw"/>
        <w:jc w:val="both"/>
      </w:pPr>
    </w:p>
    <w:p w:rsidR="005159E5" w:rsidRPr="00597234" w:rsidRDefault="005159E5" w:rsidP="005159E5">
      <w:pPr>
        <w:pStyle w:val="Bezodstpw"/>
        <w:jc w:val="both"/>
        <w:rPr>
          <w:u w:val="single"/>
        </w:rPr>
      </w:pPr>
      <w:r>
        <w:t xml:space="preserve">Mówi się (nie bez racji), że kluczowe znaczenie ma </w:t>
      </w:r>
      <w:r w:rsidRPr="00597234">
        <w:rPr>
          <w:b/>
        </w:rPr>
        <w:t xml:space="preserve">nie tyle sama wiadomość, ile </w:t>
      </w:r>
      <w:r w:rsidRPr="00597234">
        <w:rPr>
          <w:b/>
          <w:u w:val="single"/>
        </w:rPr>
        <w:t>reakcja na nią</w:t>
      </w:r>
      <w:r w:rsidRPr="00597234">
        <w:rPr>
          <w:u w:val="single"/>
        </w:rPr>
        <w:t xml:space="preserve"> !</w:t>
      </w:r>
    </w:p>
    <w:p w:rsidR="005159E5" w:rsidRDefault="005159E5" w:rsidP="005159E5">
      <w:pPr>
        <w:pStyle w:val="Bezodstpw"/>
        <w:jc w:val="both"/>
      </w:pPr>
    </w:p>
    <w:p w:rsidR="005159E5" w:rsidRDefault="005159E5" w:rsidP="005159E5">
      <w:pPr>
        <w:pStyle w:val="Bezodstpw"/>
        <w:jc w:val="both"/>
      </w:pPr>
      <w:r>
        <w:t xml:space="preserve">Wyniki finansowe spółki </w:t>
      </w:r>
      <w:proofErr w:type="spellStart"/>
      <w:r>
        <w:t>Procad</w:t>
      </w:r>
      <w:proofErr w:type="spellEnd"/>
      <w:r>
        <w:t xml:space="preserve"> można samodzielnie przeanalizować tutaj</w:t>
      </w:r>
    </w:p>
    <w:p w:rsidR="005159E5" w:rsidRDefault="005159E5" w:rsidP="005159E5">
      <w:pPr>
        <w:pStyle w:val="Bezodstpw"/>
        <w:jc w:val="both"/>
      </w:pPr>
    </w:p>
    <w:p w:rsidR="005159E5" w:rsidRDefault="00751D00" w:rsidP="005159E5">
      <w:pPr>
        <w:pStyle w:val="Bezodstpw"/>
        <w:jc w:val="both"/>
      </w:pPr>
      <w:hyperlink r:id="rId20" w:history="1">
        <w:r w:rsidR="005159E5" w:rsidRPr="00561D23">
          <w:rPr>
            <w:rStyle w:val="Hipercze"/>
          </w:rPr>
          <w:t>http://mojeinwestycje.interia.pl/gie/prof/spolki/finanse?wlid=4172</w:t>
        </w:r>
      </w:hyperlink>
    </w:p>
    <w:p w:rsidR="005159E5" w:rsidRDefault="005159E5" w:rsidP="005159E5">
      <w:pPr>
        <w:pStyle w:val="Bezodstpw"/>
        <w:jc w:val="both"/>
      </w:pPr>
    </w:p>
    <w:p w:rsidR="005159E5" w:rsidRDefault="005159E5" w:rsidP="005159E5">
      <w:pPr>
        <w:pStyle w:val="Bezodstpw"/>
        <w:jc w:val="both"/>
      </w:pPr>
      <w:r>
        <w:lastRenderedPageBreak/>
        <w:t xml:space="preserve">Warto zwrócić także uwagę na to, że kurs spółki </w:t>
      </w:r>
      <w:proofErr w:type="spellStart"/>
      <w:r>
        <w:t>Procad</w:t>
      </w:r>
      <w:proofErr w:type="spellEnd"/>
      <w:r>
        <w:t xml:space="preserve"> doszedł do linii trendu, która w przeszłości okazywała się być bardzo ważnym wsparciem. </w:t>
      </w:r>
    </w:p>
    <w:p w:rsidR="005159E5" w:rsidRDefault="005159E5" w:rsidP="005159E5">
      <w:pPr>
        <w:pStyle w:val="Bezodstpw"/>
        <w:jc w:val="both"/>
      </w:pPr>
    </w:p>
    <w:p w:rsidR="005159E5" w:rsidRDefault="005159E5" w:rsidP="005159E5">
      <w:pPr>
        <w:pStyle w:val="Bezodstpw"/>
        <w:jc w:val="both"/>
      </w:pPr>
      <w:r>
        <w:rPr>
          <w:noProof/>
        </w:rPr>
        <w:drawing>
          <wp:inline distT="0" distB="0" distL="0" distR="0">
            <wp:extent cx="4800600" cy="2895600"/>
            <wp:effectExtent l="19050" t="0" r="0" b="0"/>
            <wp:docPr id="1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4800600" cy="2895600"/>
                    </a:xfrm>
                    <a:prstGeom prst="rect">
                      <a:avLst/>
                    </a:prstGeom>
                    <a:noFill/>
                  </pic:spPr>
                </pic:pic>
              </a:graphicData>
            </a:graphic>
          </wp:inline>
        </w:drawing>
      </w:r>
    </w:p>
    <w:p w:rsidR="005159E5" w:rsidRDefault="005159E5" w:rsidP="005159E5">
      <w:pPr>
        <w:pStyle w:val="Bezodstpw"/>
        <w:jc w:val="both"/>
      </w:pPr>
    </w:p>
    <w:p w:rsidR="005159E5" w:rsidRDefault="005159E5" w:rsidP="005159E5">
      <w:pPr>
        <w:pStyle w:val="Bezodstpw"/>
        <w:jc w:val="both"/>
      </w:pPr>
      <w:r>
        <w:t xml:space="preserve">Nie będę ukrywał. Także i to stanowić może dla dużej części inwestorów silny argument przemawiający za kupowaniem akcji spółki </w:t>
      </w:r>
      <w:proofErr w:type="spellStart"/>
      <w:r>
        <w:t>Procad</w:t>
      </w:r>
      <w:proofErr w:type="spellEnd"/>
      <w:r>
        <w:t xml:space="preserve">. </w:t>
      </w:r>
    </w:p>
    <w:p w:rsidR="005159E5" w:rsidRDefault="005159E5" w:rsidP="005159E5">
      <w:pPr>
        <w:pStyle w:val="Bezodstpw"/>
        <w:jc w:val="both"/>
      </w:pPr>
    </w:p>
    <w:p w:rsidR="005159E5" w:rsidRDefault="005159E5" w:rsidP="005159E5">
      <w:pPr>
        <w:pStyle w:val="Bezodstpw"/>
        <w:jc w:val="both"/>
        <w:rPr>
          <w:noProof/>
        </w:rPr>
      </w:pPr>
      <w:r>
        <w:t xml:space="preserve">Bardzo ciekawie przedstawia się także wykres siły względnej spółki </w:t>
      </w:r>
      <w:proofErr w:type="spellStart"/>
      <w:r>
        <w:t>Procad</w:t>
      </w:r>
      <w:proofErr w:type="spellEnd"/>
      <w:r>
        <w:t xml:space="preserve"> w stosunku do indeksu WIG 20. Także i w tym przypadku mamy do czynienia z wybiciem z podwójnego dna oraz przebiciem spadkowej linii trendu. </w:t>
      </w:r>
      <w:r>
        <w:rPr>
          <w:noProof/>
        </w:rPr>
        <w:t xml:space="preserve">Sytuacja ta stwarza poważne szsasnę na to, że kurs akcji spółki Procad nie tylko wzrośnie lecz także, że kurs akcji tej spólki będzie się zachowywać lepiej od indeksu WIG 20. </w:t>
      </w:r>
    </w:p>
    <w:p w:rsidR="005159E5" w:rsidRDefault="005159E5" w:rsidP="005159E5">
      <w:pPr>
        <w:pStyle w:val="Bezodstpw"/>
        <w:jc w:val="both"/>
        <w:rPr>
          <w:noProof/>
        </w:rPr>
      </w:pPr>
    </w:p>
    <w:p w:rsidR="005159E5" w:rsidRDefault="005159E5" w:rsidP="005159E5">
      <w:pPr>
        <w:pStyle w:val="Bezodstpw"/>
        <w:jc w:val="both"/>
        <w:rPr>
          <w:noProof/>
        </w:rPr>
      </w:pPr>
      <w:r>
        <w:rPr>
          <w:noProof/>
        </w:rPr>
        <w:t xml:space="preserve">Co z tego wynika ? Generalnie to, że kurs akcji spólki Procad ma w sobie jakąś taką wewnętrzną siłę, energie, która ma szansę, że tak  powiem wybuchąć. </w:t>
      </w:r>
    </w:p>
    <w:p w:rsidR="005159E5" w:rsidRDefault="005159E5" w:rsidP="005159E5">
      <w:pPr>
        <w:pStyle w:val="Bezodstpw"/>
        <w:jc w:val="both"/>
        <w:rPr>
          <w:noProof/>
        </w:rPr>
      </w:pPr>
    </w:p>
    <w:p w:rsidR="005159E5" w:rsidRPr="009D6580" w:rsidRDefault="005159E5" w:rsidP="005159E5">
      <w:pPr>
        <w:pStyle w:val="Bezodstpw"/>
        <w:jc w:val="both"/>
        <w:rPr>
          <w:b/>
          <w:noProof/>
        </w:rPr>
      </w:pPr>
      <w:r w:rsidRPr="009D6580">
        <w:rPr>
          <w:b/>
          <w:noProof/>
        </w:rPr>
        <w:t xml:space="preserve">PROCAD / WIG20 </w:t>
      </w:r>
    </w:p>
    <w:p w:rsidR="005159E5" w:rsidRDefault="005159E5" w:rsidP="005159E5">
      <w:pPr>
        <w:pStyle w:val="Bezodstpw"/>
        <w:jc w:val="both"/>
        <w:rPr>
          <w:noProof/>
        </w:rPr>
      </w:pPr>
    </w:p>
    <w:p w:rsidR="005159E5" w:rsidRDefault="005159E5" w:rsidP="005159E5">
      <w:pPr>
        <w:pStyle w:val="Bezodstpw"/>
        <w:jc w:val="both"/>
      </w:pPr>
      <w:r>
        <w:rPr>
          <w:noProof/>
        </w:rPr>
        <w:drawing>
          <wp:inline distT="0" distB="0" distL="0" distR="0">
            <wp:extent cx="4800600" cy="2895600"/>
            <wp:effectExtent l="19050" t="0" r="0" b="0"/>
            <wp:docPr id="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4800600" cy="2895600"/>
                    </a:xfrm>
                    <a:prstGeom prst="rect">
                      <a:avLst/>
                    </a:prstGeom>
                    <a:noFill/>
                  </pic:spPr>
                </pic:pic>
              </a:graphicData>
            </a:graphic>
          </wp:inline>
        </w:drawing>
      </w:r>
    </w:p>
    <w:p w:rsidR="005159E5" w:rsidRDefault="005159E5" w:rsidP="005159E5">
      <w:pPr>
        <w:pStyle w:val="Bezodstpw"/>
        <w:jc w:val="both"/>
      </w:pPr>
    </w:p>
    <w:p w:rsidR="005159E5" w:rsidRDefault="005159E5" w:rsidP="005159E5">
      <w:pPr>
        <w:pStyle w:val="Bezodstpw"/>
        <w:pBdr>
          <w:top w:val="single" w:sz="4" w:space="1" w:color="auto"/>
          <w:left w:val="single" w:sz="4" w:space="4" w:color="auto"/>
          <w:bottom w:val="single" w:sz="4" w:space="1" w:color="auto"/>
          <w:right w:val="single" w:sz="4" w:space="4" w:color="auto"/>
        </w:pBdr>
        <w:jc w:val="center"/>
      </w:pPr>
      <w:r>
        <w:lastRenderedPageBreak/>
        <w:t>Sezonowość – WIG 250</w:t>
      </w:r>
    </w:p>
    <w:p w:rsidR="005159E5" w:rsidRDefault="005159E5" w:rsidP="005159E5">
      <w:pPr>
        <w:pStyle w:val="Bezodstpw"/>
        <w:jc w:val="both"/>
      </w:pPr>
    </w:p>
    <w:p w:rsidR="005159E5" w:rsidRDefault="005159E5" w:rsidP="005159E5">
      <w:pPr>
        <w:pStyle w:val="Bezodstpw"/>
        <w:jc w:val="both"/>
      </w:pPr>
      <w:r>
        <w:t>W dotychczasowej części tego numeru ,,Raportu Tygodniowego” swoją uwagę koncentrowałem na indeksie WIG 20. Nie będę ukrywał – w mijającym tygodniu najbardziej mnie zaszokował drastyczny spadek cen miedzi i ropy naftowej a także srebra. W rezultacie przebicia wzrostowej linii trendu na indeksie cen surowców CRB teza o tym, że zaczynamy korekcyjne wzrosty cen surowców a w ślad za tym od razu będzie rósł WIG 20 zaczyna się chwiać.</w:t>
      </w:r>
    </w:p>
    <w:p w:rsidR="005159E5" w:rsidRDefault="005159E5" w:rsidP="005159E5">
      <w:pPr>
        <w:pStyle w:val="Bezodstpw"/>
        <w:jc w:val="both"/>
      </w:pPr>
    </w:p>
    <w:p w:rsidR="005159E5" w:rsidRDefault="005159E5" w:rsidP="005159E5">
      <w:pPr>
        <w:pStyle w:val="Bezodstpw"/>
        <w:jc w:val="both"/>
      </w:pPr>
      <w:r>
        <w:t xml:space="preserve">Z natury rzeczy w największym stopniu na spadkach cen miedzy </w:t>
      </w:r>
      <w:r w:rsidRPr="0035528D">
        <w:rPr>
          <w:b/>
        </w:rPr>
        <w:t>ucierpieć może kurs KGHM</w:t>
      </w:r>
      <w:r>
        <w:t xml:space="preserve"> natomiast wyobrażam sobie, że pojawi się </w:t>
      </w:r>
      <w:r w:rsidRPr="0035528D">
        <w:rPr>
          <w:b/>
        </w:rPr>
        <w:t>grupa</w:t>
      </w:r>
      <w:r>
        <w:t xml:space="preserve"> dużych inwestorów (</w:t>
      </w:r>
      <w:r w:rsidRPr="0035528D">
        <w:rPr>
          <w:b/>
        </w:rPr>
        <w:t>tak zwanych ,,grubych ryb” być może pochodzenia zagranicznego</w:t>
      </w:r>
      <w:r>
        <w:t xml:space="preserve">), która pomyśli mnie więcej tak ,,w tej sytuacji trzeba kupować akcje płynnych spółek deflacyjnych, w tym głównie akcje PKO Banku Polskiego, gdyż na wykresie PKO BP /KGHM mamy niezrealizowaną formację podwójnego dna o ogromnych rozmiarach”. </w:t>
      </w:r>
    </w:p>
    <w:p w:rsidR="005159E5" w:rsidRDefault="005159E5" w:rsidP="005159E5">
      <w:pPr>
        <w:pStyle w:val="Bezodstpw"/>
        <w:jc w:val="both"/>
      </w:pPr>
    </w:p>
    <w:p w:rsidR="005159E5" w:rsidRDefault="005159E5" w:rsidP="005159E5">
      <w:pPr>
        <w:pStyle w:val="Bezodstpw"/>
        <w:jc w:val="both"/>
      </w:pPr>
      <w:r>
        <w:t xml:space="preserve">No dobrze... Tylko to wszystko dotyczy WIG-u 20. A co z indeksem WIG 250 – indeksem ,,maluchów”, którym zainteresowani są głównie elastyczni, drobni, ale </w:t>
      </w:r>
      <w:r w:rsidRPr="0035528D">
        <w:rPr>
          <w:b/>
        </w:rPr>
        <w:t>sprytni rodzimi inwestorzy indywidualni</w:t>
      </w:r>
      <w:r>
        <w:t xml:space="preserve"> ??? Dla tej grupy osób mam </w:t>
      </w:r>
      <w:r w:rsidRPr="0035528D">
        <w:rPr>
          <w:b/>
        </w:rPr>
        <w:t>dobrą informacje</w:t>
      </w:r>
      <w:r>
        <w:t>. Policzyłem oto średni poziom stóp zwrotu z indeksu WIG 250 w poszczególnych miesiącach lat 1995 – 2013</w:t>
      </w:r>
    </w:p>
    <w:p w:rsidR="005159E5" w:rsidRDefault="005159E5" w:rsidP="005159E5">
      <w:pPr>
        <w:pStyle w:val="Bezodstpw"/>
        <w:jc w:val="both"/>
      </w:pPr>
    </w:p>
    <w:p w:rsidR="005159E5" w:rsidRDefault="005159E5" w:rsidP="005159E5">
      <w:pPr>
        <w:pStyle w:val="Bezodstpw"/>
        <w:jc w:val="both"/>
      </w:pPr>
      <w:r>
        <w:t xml:space="preserve">Otóż okres od końca listopada do końca kwietnia roku następnego jest dla akcji małych spółek po prostu znakomity ! Poniższa tabela przedstawia stopę zwrotu z indeksu giełdowego WIG 250 w latach 1995 – 2013 w poszczególnych miesiącach </w:t>
      </w:r>
    </w:p>
    <w:p w:rsidR="005159E5" w:rsidRDefault="005159E5" w:rsidP="005159E5">
      <w:pPr>
        <w:pStyle w:val="Bezodstpw"/>
        <w:jc w:val="both"/>
      </w:pPr>
    </w:p>
    <w:tbl>
      <w:tblPr>
        <w:tblStyle w:val="Tabela-Siatka"/>
        <w:tblW w:w="0" w:type="auto"/>
        <w:tblLook w:val="04A0"/>
      </w:tblPr>
      <w:tblGrid>
        <w:gridCol w:w="4606"/>
        <w:gridCol w:w="4606"/>
      </w:tblGrid>
      <w:tr w:rsidR="005159E5" w:rsidTr="0021637A">
        <w:tc>
          <w:tcPr>
            <w:tcW w:w="4606" w:type="dxa"/>
          </w:tcPr>
          <w:p w:rsidR="005159E5" w:rsidRPr="0035528D" w:rsidRDefault="005159E5" w:rsidP="0021637A">
            <w:pPr>
              <w:pStyle w:val="Bezodstpw"/>
              <w:jc w:val="center"/>
              <w:rPr>
                <w:sz w:val="32"/>
                <w:szCs w:val="32"/>
              </w:rPr>
            </w:pPr>
            <w:r w:rsidRPr="0035528D">
              <w:rPr>
                <w:sz w:val="32"/>
                <w:szCs w:val="32"/>
              </w:rPr>
              <w:t>Miesiąc</w:t>
            </w:r>
          </w:p>
        </w:tc>
        <w:tc>
          <w:tcPr>
            <w:tcW w:w="4606" w:type="dxa"/>
          </w:tcPr>
          <w:p w:rsidR="005159E5" w:rsidRPr="0035528D" w:rsidRDefault="005159E5" w:rsidP="0021637A">
            <w:pPr>
              <w:pStyle w:val="Bezodstpw"/>
              <w:jc w:val="center"/>
              <w:rPr>
                <w:sz w:val="32"/>
                <w:szCs w:val="32"/>
              </w:rPr>
            </w:pPr>
            <w:r w:rsidRPr="0035528D">
              <w:rPr>
                <w:sz w:val="32"/>
                <w:szCs w:val="32"/>
              </w:rPr>
              <w:t>Stopa zwrotu z indeksu WIG 250</w:t>
            </w:r>
          </w:p>
        </w:tc>
      </w:tr>
      <w:tr w:rsidR="005159E5" w:rsidTr="0021637A">
        <w:tc>
          <w:tcPr>
            <w:tcW w:w="4606" w:type="dxa"/>
          </w:tcPr>
          <w:p w:rsidR="005159E5" w:rsidRPr="0035528D" w:rsidRDefault="005159E5" w:rsidP="0021637A">
            <w:pPr>
              <w:jc w:val="center"/>
              <w:rPr>
                <w:b/>
                <w:color w:val="FF0000"/>
                <w:sz w:val="32"/>
                <w:szCs w:val="32"/>
              </w:rPr>
            </w:pPr>
            <w:r w:rsidRPr="0035528D">
              <w:rPr>
                <w:b/>
                <w:color w:val="FF0000"/>
                <w:sz w:val="32"/>
                <w:szCs w:val="32"/>
              </w:rPr>
              <w:t>Styczeń</w:t>
            </w:r>
          </w:p>
        </w:tc>
        <w:tc>
          <w:tcPr>
            <w:tcW w:w="4606" w:type="dxa"/>
          </w:tcPr>
          <w:p w:rsidR="005159E5" w:rsidRPr="0035528D" w:rsidRDefault="005159E5" w:rsidP="0021637A">
            <w:pPr>
              <w:jc w:val="center"/>
              <w:rPr>
                <w:b/>
                <w:color w:val="FF0000"/>
                <w:sz w:val="32"/>
                <w:szCs w:val="32"/>
              </w:rPr>
            </w:pPr>
            <w:r w:rsidRPr="0035528D">
              <w:rPr>
                <w:b/>
                <w:color w:val="FF0000"/>
                <w:sz w:val="32"/>
                <w:szCs w:val="32"/>
              </w:rPr>
              <w:t xml:space="preserve">  3,3</w:t>
            </w:r>
          </w:p>
        </w:tc>
      </w:tr>
      <w:tr w:rsidR="005159E5" w:rsidTr="0021637A">
        <w:tc>
          <w:tcPr>
            <w:tcW w:w="4606" w:type="dxa"/>
          </w:tcPr>
          <w:p w:rsidR="005159E5" w:rsidRPr="0035528D" w:rsidRDefault="005159E5" w:rsidP="0021637A">
            <w:pPr>
              <w:jc w:val="center"/>
              <w:rPr>
                <w:b/>
                <w:color w:val="FF0000"/>
                <w:sz w:val="32"/>
                <w:szCs w:val="32"/>
              </w:rPr>
            </w:pPr>
            <w:r w:rsidRPr="0035528D">
              <w:rPr>
                <w:b/>
                <w:color w:val="FF0000"/>
                <w:sz w:val="32"/>
                <w:szCs w:val="32"/>
              </w:rPr>
              <w:t xml:space="preserve">Luty  </w:t>
            </w:r>
          </w:p>
        </w:tc>
        <w:tc>
          <w:tcPr>
            <w:tcW w:w="4606" w:type="dxa"/>
          </w:tcPr>
          <w:p w:rsidR="005159E5" w:rsidRPr="0035528D" w:rsidRDefault="005159E5" w:rsidP="0021637A">
            <w:pPr>
              <w:jc w:val="center"/>
              <w:rPr>
                <w:b/>
                <w:color w:val="FF0000"/>
                <w:sz w:val="32"/>
                <w:szCs w:val="32"/>
              </w:rPr>
            </w:pPr>
            <w:r w:rsidRPr="0035528D">
              <w:rPr>
                <w:b/>
                <w:color w:val="FF0000"/>
                <w:sz w:val="32"/>
                <w:szCs w:val="32"/>
              </w:rPr>
              <w:t xml:space="preserve">  4,5</w:t>
            </w:r>
          </w:p>
        </w:tc>
      </w:tr>
      <w:tr w:rsidR="005159E5" w:rsidTr="0021637A">
        <w:tc>
          <w:tcPr>
            <w:tcW w:w="4606" w:type="dxa"/>
          </w:tcPr>
          <w:p w:rsidR="005159E5" w:rsidRPr="0035528D" w:rsidRDefault="005159E5" w:rsidP="0021637A">
            <w:pPr>
              <w:jc w:val="center"/>
              <w:rPr>
                <w:b/>
                <w:color w:val="FF0000"/>
                <w:sz w:val="32"/>
                <w:szCs w:val="32"/>
              </w:rPr>
            </w:pPr>
            <w:r w:rsidRPr="0035528D">
              <w:rPr>
                <w:b/>
                <w:color w:val="FF0000"/>
                <w:sz w:val="32"/>
                <w:szCs w:val="32"/>
              </w:rPr>
              <w:t>Marzec</w:t>
            </w:r>
          </w:p>
        </w:tc>
        <w:tc>
          <w:tcPr>
            <w:tcW w:w="4606" w:type="dxa"/>
          </w:tcPr>
          <w:p w:rsidR="005159E5" w:rsidRPr="0035528D" w:rsidRDefault="005159E5" w:rsidP="0021637A">
            <w:pPr>
              <w:jc w:val="center"/>
              <w:rPr>
                <w:b/>
                <w:color w:val="FF0000"/>
                <w:sz w:val="32"/>
                <w:szCs w:val="32"/>
              </w:rPr>
            </w:pPr>
            <w:r w:rsidRPr="0035528D">
              <w:rPr>
                <w:b/>
                <w:color w:val="FF0000"/>
                <w:sz w:val="32"/>
                <w:szCs w:val="32"/>
              </w:rPr>
              <w:t xml:space="preserve">  3,0</w:t>
            </w:r>
          </w:p>
        </w:tc>
      </w:tr>
      <w:tr w:rsidR="005159E5" w:rsidTr="0021637A">
        <w:tc>
          <w:tcPr>
            <w:tcW w:w="4606" w:type="dxa"/>
          </w:tcPr>
          <w:p w:rsidR="005159E5" w:rsidRPr="0035528D" w:rsidRDefault="005159E5" w:rsidP="0021637A">
            <w:pPr>
              <w:jc w:val="center"/>
              <w:rPr>
                <w:b/>
                <w:color w:val="FF0000"/>
                <w:sz w:val="32"/>
                <w:szCs w:val="32"/>
              </w:rPr>
            </w:pPr>
            <w:r w:rsidRPr="0035528D">
              <w:rPr>
                <w:b/>
                <w:color w:val="FF0000"/>
                <w:sz w:val="32"/>
                <w:szCs w:val="32"/>
              </w:rPr>
              <w:t>Kwiecień</w:t>
            </w:r>
          </w:p>
        </w:tc>
        <w:tc>
          <w:tcPr>
            <w:tcW w:w="4606" w:type="dxa"/>
          </w:tcPr>
          <w:p w:rsidR="005159E5" w:rsidRPr="0035528D" w:rsidRDefault="005159E5" w:rsidP="0021637A">
            <w:pPr>
              <w:jc w:val="center"/>
              <w:rPr>
                <w:b/>
                <w:color w:val="FF0000"/>
                <w:sz w:val="32"/>
                <w:szCs w:val="32"/>
              </w:rPr>
            </w:pPr>
            <w:r w:rsidRPr="0035528D">
              <w:rPr>
                <w:b/>
                <w:color w:val="FF0000"/>
                <w:sz w:val="32"/>
                <w:szCs w:val="32"/>
              </w:rPr>
              <w:t xml:space="preserve">  5,4</w:t>
            </w:r>
          </w:p>
        </w:tc>
      </w:tr>
      <w:tr w:rsidR="005159E5" w:rsidTr="0021637A">
        <w:tc>
          <w:tcPr>
            <w:tcW w:w="4606" w:type="dxa"/>
          </w:tcPr>
          <w:p w:rsidR="005159E5" w:rsidRPr="0035528D" w:rsidRDefault="005159E5" w:rsidP="0021637A">
            <w:pPr>
              <w:jc w:val="center"/>
              <w:rPr>
                <w:sz w:val="32"/>
                <w:szCs w:val="32"/>
              </w:rPr>
            </w:pPr>
            <w:r w:rsidRPr="0035528D">
              <w:rPr>
                <w:sz w:val="32"/>
                <w:szCs w:val="32"/>
              </w:rPr>
              <w:t>Maj</w:t>
            </w:r>
          </w:p>
        </w:tc>
        <w:tc>
          <w:tcPr>
            <w:tcW w:w="4606" w:type="dxa"/>
          </w:tcPr>
          <w:p w:rsidR="005159E5" w:rsidRPr="0035528D" w:rsidRDefault="005159E5" w:rsidP="0021637A">
            <w:pPr>
              <w:jc w:val="center"/>
              <w:rPr>
                <w:sz w:val="32"/>
                <w:szCs w:val="32"/>
              </w:rPr>
            </w:pPr>
            <w:r w:rsidRPr="0035528D">
              <w:rPr>
                <w:sz w:val="32"/>
                <w:szCs w:val="32"/>
              </w:rPr>
              <w:t>-0,3</w:t>
            </w:r>
          </w:p>
        </w:tc>
      </w:tr>
      <w:tr w:rsidR="005159E5" w:rsidTr="0021637A">
        <w:tc>
          <w:tcPr>
            <w:tcW w:w="4606" w:type="dxa"/>
          </w:tcPr>
          <w:p w:rsidR="005159E5" w:rsidRPr="0035528D" w:rsidRDefault="005159E5" w:rsidP="0021637A">
            <w:pPr>
              <w:jc w:val="center"/>
              <w:rPr>
                <w:sz w:val="32"/>
                <w:szCs w:val="32"/>
              </w:rPr>
            </w:pPr>
            <w:r w:rsidRPr="0035528D">
              <w:rPr>
                <w:sz w:val="32"/>
                <w:szCs w:val="32"/>
              </w:rPr>
              <w:t>Czerwiec</w:t>
            </w:r>
          </w:p>
        </w:tc>
        <w:tc>
          <w:tcPr>
            <w:tcW w:w="4606" w:type="dxa"/>
          </w:tcPr>
          <w:p w:rsidR="005159E5" w:rsidRPr="0035528D" w:rsidRDefault="005159E5" w:rsidP="0021637A">
            <w:pPr>
              <w:jc w:val="center"/>
              <w:rPr>
                <w:sz w:val="32"/>
                <w:szCs w:val="32"/>
              </w:rPr>
            </w:pPr>
            <w:r w:rsidRPr="0035528D">
              <w:rPr>
                <w:sz w:val="32"/>
                <w:szCs w:val="32"/>
              </w:rPr>
              <w:t>-0,6</w:t>
            </w:r>
          </w:p>
        </w:tc>
      </w:tr>
      <w:tr w:rsidR="005159E5" w:rsidTr="0021637A">
        <w:tc>
          <w:tcPr>
            <w:tcW w:w="4606" w:type="dxa"/>
          </w:tcPr>
          <w:p w:rsidR="005159E5" w:rsidRPr="0035528D" w:rsidRDefault="005159E5" w:rsidP="0021637A">
            <w:pPr>
              <w:jc w:val="center"/>
              <w:rPr>
                <w:sz w:val="32"/>
                <w:szCs w:val="32"/>
              </w:rPr>
            </w:pPr>
            <w:r w:rsidRPr="0035528D">
              <w:rPr>
                <w:sz w:val="32"/>
                <w:szCs w:val="32"/>
              </w:rPr>
              <w:t>Lipiec</w:t>
            </w:r>
          </w:p>
        </w:tc>
        <w:tc>
          <w:tcPr>
            <w:tcW w:w="4606" w:type="dxa"/>
          </w:tcPr>
          <w:p w:rsidR="005159E5" w:rsidRPr="0035528D" w:rsidRDefault="005159E5" w:rsidP="0021637A">
            <w:pPr>
              <w:jc w:val="center"/>
              <w:rPr>
                <w:sz w:val="32"/>
                <w:szCs w:val="32"/>
              </w:rPr>
            </w:pPr>
            <w:r w:rsidRPr="0035528D">
              <w:rPr>
                <w:sz w:val="32"/>
                <w:szCs w:val="32"/>
              </w:rPr>
              <w:t xml:space="preserve">  0,0</w:t>
            </w:r>
          </w:p>
        </w:tc>
      </w:tr>
      <w:tr w:rsidR="005159E5" w:rsidTr="0021637A">
        <w:tc>
          <w:tcPr>
            <w:tcW w:w="4606" w:type="dxa"/>
          </w:tcPr>
          <w:p w:rsidR="005159E5" w:rsidRPr="0035528D" w:rsidRDefault="005159E5" w:rsidP="0021637A">
            <w:pPr>
              <w:jc w:val="center"/>
              <w:rPr>
                <w:sz w:val="32"/>
                <w:szCs w:val="32"/>
              </w:rPr>
            </w:pPr>
            <w:r w:rsidRPr="0035528D">
              <w:rPr>
                <w:sz w:val="32"/>
                <w:szCs w:val="32"/>
              </w:rPr>
              <w:t>Sierpień</w:t>
            </w:r>
          </w:p>
        </w:tc>
        <w:tc>
          <w:tcPr>
            <w:tcW w:w="4606" w:type="dxa"/>
          </w:tcPr>
          <w:p w:rsidR="005159E5" w:rsidRPr="0035528D" w:rsidRDefault="005159E5" w:rsidP="0021637A">
            <w:pPr>
              <w:jc w:val="center"/>
              <w:rPr>
                <w:sz w:val="32"/>
                <w:szCs w:val="32"/>
              </w:rPr>
            </w:pPr>
            <w:r w:rsidRPr="0035528D">
              <w:rPr>
                <w:sz w:val="32"/>
                <w:szCs w:val="32"/>
              </w:rPr>
              <w:t xml:space="preserve">  0,7</w:t>
            </w:r>
          </w:p>
        </w:tc>
      </w:tr>
      <w:tr w:rsidR="005159E5" w:rsidTr="0021637A">
        <w:tc>
          <w:tcPr>
            <w:tcW w:w="4606" w:type="dxa"/>
          </w:tcPr>
          <w:p w:rsidR="005159E5" w:rsidRPr="0035528D" w:rsidRDefault="005159E5" w:rsidP="0021637A">
            <w:pPr>
              <w:jc w:val="center"/>
              <w:rPr>
                <w:sz w:val="32"/>
                <w:szCs w:val="32"/>
              </w:rPr>
            </w:pPr>
            <w:r w:rsidRPr="0035528D">
              <w:rPr>
                <w:sz w:val="32"/>
                <w:szCs w:val="32"/>
              </w:rPr>
              <w:t>Wrzesień</w:t>
            </w:r>
          </w:p>
        </w:tc>
        <w:tc>
          <w:tcPr>
            <w:tcW w:w="4606" w:type="dxa"/>
          </w:tcPr>
          <w:p w:rsidR="005159E5" w:rsidRPr="0035528D" w:rsidRDefault="005159E5" w:rsidP="0021637A">
            <w:pPr>
              <w:jc w:val="center"/>
              <w:rPr>
                <w:sz w:val="32"/>
                <w:szCs w:val="32"/>
              </w:rPr>
            </w:pPr>
            <w:r w:rsidRPr="0035528D">
              <w:rPr>
                <w:sz w:val="32"/>
                <w:szCs w:val="32"/>
              </w:rPr>
              <w:t>-0,6</w:t>
            </w:r>
          </w:p>
        </w:tc>
      </w:tr>
      <w:tr w:rsidR="005159E5" w:rsidTr="0021637A">
        <w:tc>
          <w:tcPr>
            <w:tcW w:w="4606" w:type="dxa"/>
          </w:tcPr>
          <w:p w:rsidR="005159E5" w:rsidRPr="0035528D" w:rsidRDefault="005159E5" w:rsidP="0021637A">
            <w:pPr>
              <w:jc w:val="center"/>
              <w:rPr>
                <w:sz w:val="32"/>
                <w:szCs w:val="32"/>
              </w:rPr>
            </w:pPr>
            <w:r w:rsidRPr="0035528D">
              <w:rPr>
                <w:sz w:val="32"/>
                <w:szCs w:val="32"/>
              </w:rPr>
              <w:t>Październik</w:t>
            </w:r>
          </w:p>
        </w:tc>
        <w:tc>
          <w:tcPr>
            <w:tcW w:w="4606" w:type="dxa"/>
          </w:tcPr>
          <w:p w:rsidR="005159E5" w:rsidRPr="0035528D" w:rsidRDefault="005159E5" w:rsidP="0021637A">
            <w:pPr>
              <w:jc w:val="center"/>
              <w:rPr>
                <w:sz w:val="32"/>
                <w:szCs w:val="32"/>
              </w:rPr>
            </w:pPr>
            <w:r w:rsidRPr="0035528D">
              <w:rPr>
                <w:sz w:val="32"/>
                <w:szCs w:val="32"/>
              </w:rPr>
              <w:t xml:space="preserve">  0,3</w:t>
            </w:r>
          </w:p>
        </w:tc>
      </w:tr>
      <w:tr w:rsidR="005159E5" w:rsidTr="0021637A">
        <w:tc>
          <w:tcPr>
            <w:tcW w:w="4606" w:type="dxa"/>
          </w:tcPr>
          <w:p w:rsidR="005159E5" w:rsidRPr="0035528D" w:rsidRDefault="005159E5" w:rsidP="0021637A">
            <w:pPr>
              <w:jc w:val="center"/>
              <w:rPr>
                <w:sz w:val="32"/>
                <w:szCs w:val="32"/>
              </w:rPr>
            </w:pPr>
            <w:r w:rsidRPr="0035528D">
              <w:rPr>
                <w:sz w:val="32"/>
                <w:szCs w:val="32"/>
              </w:rPr>
              <w:t>Listopad</w:t>
            </w:r>
          </w:p>
        </w:tc>
        <w:tc>
          <w:tcPr>
            <w:tcW w:w="4606" w:type="dxa"/>
          </w:tcPr>
          <w:p w:rsidR="005159E5" w:rsidRPr="0035528D" w:rsidRDefault="005159E5" w:rsidP="0021637A">
            <w:pPr>
              <w:jc w:val="center"/>
              <w:rPr>
                <w:sz w:val="32"/>
                <w:szCs w:val="32"/>
              </w:rPr>
            </w:pPr>
            <w:r w:rsidRPr="0035528D">
              <w:rPr>
                <w:sz w:val="32"/>
                <w:szCs w:val="32"/>
              </w:rPr>
              <w:t xml:space="preserve">  0,1</w:t>
            </w:r>
          </w:p>
        </w:tc>
      </w:tr>
      <w:tr w:rsidR="005159E5" w:rsidTr="0021637A">
        <w:tc>
          <w:tcPr>
            <w:tcW w:w="4606" w:type="dxa"/>
          </w:tcPr>
          <w:p w:rsidR="005159E5" w:rsidRPr="0035528D" w:rsidRDefault="005159E5" w:rsidP="0021637A">
            <w:pPr>
              <w:jc w:val="center"/>
              <w:rPr>
                <w:b/>
                <w:color w:val="FF0000"/>
                <w:sz w:val="32"/>
                <w:szCs w:val="32"/>
              </w:rPr>
            </w:pPr>
            <w:r w:rsidRPr="0035528D">
              <w:rPr>
                <w:b/>
                <w:color w:val="FF0000"/>
                <w:sz w:val="32"/>
                <w:szCs w:val="32"/>
              </w:rPr>
              <w:t>Grudzień</w:t>
            </w:r>
          </w:p>
        </w:tc>
        <w:tc>
          <w:tcPr>
            <w:tcW w:w="4606" w:type="dxa"/>
          </w:tcPr>
          <w:p w:rsidR="005159E5" w:rsidRPr="0035528D" w:rsidRDefault="005159E5" w:rsidP="0021637A">
            <w:pPr>
              <w:jc w:val="center"/>
              <w:rPr>
                <w:b/>
                <w:color w:val="FF0000"/>
                <w:sz w:val="32"/>
                <w:szCs w:val="32"/>
              </w:rPr>
            </w:pPr>
            <w:r w:rsidRPr="0035528D">
              <w:rPr>
                <w:b/>
                <w:color w:val="FF0000"/>
                <w:sz w:val="32"/>
                <w:szCs w:val="32"/>
              </w:rPr>
              <w:t xml:space="preserve">  2,5</w:t>
            </w:r>
          </w:p>
        </w:tc>
      </w:tr>
    </w:tbl>
    <w:p w:rsidR="005159E5" w:rsidRDefault="005159E5" w:rsidP="005159E5">
      <w:pPr>
        <w:pStyle w:val="Bezodstpw"/>
        <w:jc w:val="both"/>
      </w:pPr>
    </w:p>
    <w:p w:rsidR="005159E5" w:rsidRDefault="005159E5" w:rsidP="005159E5">
      <w:pPr>
        <w:pStyle w:val="Bezodstpw"/>
        <w:jc w:val="both"/>
      </w:pPr>
      <w:r>
        <w:t xml:space="preserve">A na końcu refleksja osobista…. Pamiętam, że kiedy czytałem książkę Jacka </w:t>
      </w:r>
      <w:proofErr w:type="spellStart"/>
      <w:r>
        <w:t>Schwagera</w:t>
      </w:r>
      <w:proofErr w:type="spellEnd"/>
      <w:r>
        <w:t xml:space="preserve"> ,,Mistrzowie rynków finansowych” uderzyło mnie to, że jeden z </w:t>
      </w:r>
      <w:r w:rsidR="000E4446">
        <w:t xml:space="preserve">jego </w:t>
      </w:r>
      <w:r>
        <w:t xml:space="preserve">rozmówców </w:t>
      </w:r>
      <w:r w:rsidR="000E4446">
        <w:t xml:space="preserve">Bill </w:t>
      </w:r>
      <w:proofErr w:type="spellStart"/>
      <w:r w:rsidR="000E4446">
        <w:t>Lipschutz</w:t>
      </w:r>
      <w:proofErr w:type="spellEnd"/>
      <w:r w:rsidR="000E4446">
        <w:t xml:space="preserve"> </w:t>
      </w:r>
      <w:r>
        <w:t xml:space="preserve">przyznał się, że </w:t>
      </w:r>
      <w:r w:rsidR="000E4446">
        <w:t xml:space="preserve">miał kiedyś sen, </w:t>
      </w:r>
      <w:r>
        <w:t>w k</w:t>
      </w:r>
      <w:r w:rsidR="000E4446">
        <w:t xml:space="preserve">tórym pojawiła się cena instrumentu finansowego. </w:t>
      </w:r>
      <w:r w:rsidR="00CF577D">
        <w:t>Mam to samo..</w:t>
      </w:r>
    </w:p>
    <w:p w:rsidR="005159E5" w:rsidRDefault="005159E5" w:rsidP="005159E5">
      <w:pPr>
        <w:pStyle w:val="Bezodstpw"/>
        <w:jc w:val="both"/>
      </w:pPr>
    </w:p>
    <w:p w:rsidR="005159E5" w:rsidRDefault="005159E5" w:rsidP="005159E5">
      <w:pPr>
        <w:pStyle w:val="Bezodstpw"/>
        <w:jc w:val="both"/>
      </w:pPr>
      <w:r>
        <w:t xml:space="preserve">Pragnę oto poinformować, że 8 listopada 2014 roku śniła mi się cena akcji spółki  Investment </w:t>
      </w:r>
      <w:proofErr w:type="spellStart"/>
      <w:r>
        <w:t>Friends</w:t>
      </w:r>
      <w:proofErr w:type="spellEnd"/>
      <w:r>
        <w:t xml:space="preserve"> Capital. Była to cena 1 złoty i 40 groszy. Obecna cena  akcji tej spółki wynosi 1 złotych i 17 groszy. Ciekawe, czy ten mój sen okaże się proroczy….</w:t>
      </w:r>
    </w:p>
    <w:p w:rsidR="005159E5" w:rsidRDefault="005159E5" w:rsidP="005159E5">
      <w:pPr>
        <w:pStyle w:val="Bezodstpw"/>
        <w:jc w:val="both"/>
      </w:pPr>
    </w:p>
    <w:p w:rsidR="005159E5" w:rsidRDefault="005159E5" w:rsidP="005159E5">
      <w:pPr>
        <w:pStyle w:val="Bezodstpw"/>
        <w:jc w:val="both"/>
        <w:rPr>
          <w:b/>
        </w:rPr>
      </w:pPr>
      <w:r w:rsidRPr="00684436">
        <w:rPr>
          <w:b/>
        </w:rPr>
        <w:lastRenderedPageBreak/>
        <w:t xml:space="preserve">Wnioski końcowe </w:t>
      </w:r>
    </w:p>
    <w:p w:rsidR="005159E5" w:rsidRDefault="005159E5" w:rsidP="005159E5">
      <w:pPr>
        <w:pStyle w:val="Bezodstpw"/>
        <w:jc w:val="both"/>
        <w:rPr>
          <w:b/>
        </w:rPr>
      </w:pPr>
    </w:p>
    <w:p w:rsidR="005159E5" w:rsidRDefault="005159E5" w:rsidP="005159E5">
      <w:pPr>
        <w:pStyle w:val="Bezodstpw"/>
        <w:numPr>
          <w:ilvl w:val="0"/>
          <w:numId w:val="1"/>
        </w:numPr>
        <w:jc w:val="both"/>
      </w:pPr>
      <w:r w:rsidRPr="00C45C05">
        <w:rPr>
          <w:b/>
        </w:rPr>
        <w:t>Kurs dolara (w złotych)</w:t>
      </w:r>
      <w:r w:rsidRPr="00ED5598">
        <w:t xml:space="preserve"> </w:t>
      </w:r>
      <w:r>
        <w:t xml:space="preserve">osiągnął poziom </w:t>
      </w:r>
      <w:r w:rsidRPr="00C45C05">
        <w:rPr>
          <w:b/>
        </w:rPr>
        <w:t>długoterminowej spadkowej linii trendu</w:t>
      </w:r>
      <w:r w:rsidRPr="00ED5598">
        <w:t xml:space="preserve"> poprowadzonej przez szczyty z lutego 2009 roku oraz cze</w:t>
      </w:r>
      <w:r>
        <w:t xml:space="preserve">rwca 2012 roku. Linia ta okazała się </w:t>
      </w:r>
      <w:r w:rsidRPr="00ED5598">
        <w:t xml:space="preserve"> bardzo ważny</w:t>
      </w:r>
      <w:r>
        <w:t>m oporem</w:t>
      </w:r>
      <w:r w:rsidRPr="00ED5598">
        <w:t xml:space="preserve">. </w:t>
      </w:r>
      <w:r>
        <w:t xml:space="preserve">W tej sytuacji w okresie do końca kwietnia 2015 roku można oczekiwać spadków kursu dolara (w złotych). Bardzo ważnym wsparciem jest wzrostowa linia trendu poprowadzone przez dołki z lipca 2008 roku oraz czerwca 2014 roku, która aktualnie przebiega na poziomie </w:t>
      </w:r>
      <w:r w:rsidRPr="001C5D63">
        <w:rPr>
          <w:b/>
          <w:color w:val="FF0000"/>
        </w:rPr>
        <w:t>3,084.</w:t>
      </w:r>
      <w:r>
        <w:t xml:space="preserve"> </w:t>
      </w:r>
    </w:p>
    <w:p w:rsidR="005159E5" w:rsidRDefault="005159E5" w:rsidP="005159E5">
      <w:pPr>
        <w:pStyle w:val="Bezodstpw"/>
        <w:ind w:left="720"/>
        <w:jc w:val="both"/>
      </w:pPr>
    </w:p>
    <w:p w:rsidR="005159E5" w:rsidRDefault="005159E5" w:rsidP="005159E5">
      <w:pPr>
        <w:pStyle w:val="Bezodstpw"/>
        <w:numPr>
          <w:ilvl w:val="0"/>
          <w:numId w:val="1"/>
        </w:numPr>
        <w:jc w:val="both"/>
      </w:pPr>
      <w:r>
        <w:t xml:space="preserve">Kurs euro (w złotych) znajduje się poniżej </w:t>
      </w:r>
      <w:r w:rsidRPr="00F773DD">
        <w:rPr>
          <w:b/>
        </w:rPr>
        <w:t>długoterminowej spadkowej linii trendu</w:t>
      </w:r>
      <w:r>
        <w:t xml:space="preserve"> poprowadzonej przez szczyty z lutego 2009 roku oraz grudnia 2011 roku. Również w tym przypadku Linia na stanowi </w:t>
      </w:r>
      <w:r w:rsidRPr="00F773DD">
        <w:rPr>
          <w:b/>
        </w:rPr>
        <w:t>bardzo ważny opór</w:t>
      </w:r>
      <w:r>
        <w:t xml:space="preserve">. W chwili obecnej przebiega ona na poziomie </w:t>
      </w:r>
      <w:r w:rsidRPr="00F773DD">
        <w:rPr>
          <w:color w:val="000000" w:themeColor="text1"/>
        </w:rPr>
        <w:t>4,25</w:t>
      </w:r>
      <w:r>
        <w:t xml:space="preserve">. Sądzę, że jest realne, że kurs powtórnie w krótkim okresie wzrośnie w kierunku tego poziomu, później jednak (w okresie do końca kwietnia 2015 roku) można będzie oczekiwać spadków kursu. </w:t>
      </w:r>
      <w:r w:rsidRPr="001C5D63">
        <w:t xml:space="preserve">Przewidując napływ kapitału zagranicznego na giełdę warszawską oczekuje w tym okresie umocnienia kursu złotego, czyli m.in. spadku kursu </w:t>
      </w:r>
      <w:r>
        <w:t xml:space="preserve">euro (w złotych) do poziomu </w:t>
      </w:r>
      <w:r w:rsidRPr="00F773DD">
        <w:rPr>
          <w:b/>
          <w:color w:val="FF0000"/>
        </w:rPr>
        <w:t>4,089</w:t>
      </w:r>
      <w:r>
        <w:t xml:space="preserve"> stanowiącego ważne wsparcie (dołki z marca 2012 roku oraz czerwca 2014 roku – pozioma linia). </w:t>
      </w:r>
    </w:p>
    <w:p w:rsidR="005159E5" w:rsidRDefault="005159E5" w:rsidP="005159E5">
      <w:pPr>
        <w:pStyle w:val="Bezodstpw"/>
        <w:ind w:left="720"/>
        <w:jc w:val="both"/>
      </w:pPr>
    </w:p>
    <w:p w:rsidR="005159E5" w:rsidRPr="00A47909" w:rsidRDefault="005159E5" w:rsidP="005159E5">
      <w:pPr>
        <w:pStyle w:val="Bezodstpw"/>
        <w:numPr>
          <w:ilvl w:val="0"/>
          <w:numId w:val="1"/>
        </w:numPr>
        <w:jc w:val="both"/>
        <w:rPr>
          <w:b/>
        </w:rPr>
      </w:pPr>
      <w:r>
        <w:rPr>
          <w:color w:val="000000" w:themeColor="text1"/>
        </w:rPr>
        <w:t xml:space="preserve">Grudzień jest jednym z najbardziej korzystnych miesięcy na polskim rynku akcji. Z tego powodu można oczekiwać w ostatnim miesiącu tego roku wzrostów podstawowych indeksów opisujących sytuację na GPW w Warszawie. Wciąż </w:t>
      </w:r>
      <w:r w:rsidRPr="00A47909">
        <w:rPr>
          <w:b/>
          <w:color w:val="000000" w:themeColor="text1"/>
        </w:rPr>
        <w:t>nie ma</w:t>
      </w:r>
      <w:r>
        <w:rPr>
          <w:color w:val="000000" w:themeColor="text1"/>
        </w:rPr>
        <w:t xml:space="preserve"> bowiem żadnych </w:t>
      </w:r>
      <w:r w:rsidRPr="00A47909">
        <w:rPr>
          <w:b/>
          <w:color w:val="000000" w:themeColor="text1"/>
        </w:rPr>
        <w:t xml:space="preserve">sygnałów zakończenia hossy na największych giełdach świata. </w:t>
      </w:r>
    </w:p>
    <w:p w:rsidR="005159E5" w:rsidRPr="00180605" w:rsidRDefault="005159E5" w:rsidP="005159E5">
      <w:pPr>
        <w:pStyle w:val="Bezodstpw"/>
        <w:ind w:left="720"/>
        <w:jc w:val="both"/>
      </w:pPr>
    </w:p>
    <w:p w:rsidR="005159E5" w:rsidRDefault="005159E5" w:rsidP="005159E5">
      <w:pPr>
        <w:pStyle w:val="Bezodstpw"/>
        <w:numPr>
          <w:ilvl w:val="0"/>
          <w:numId w:val="1"/>
        </w:numPr>
        <w:jc w:val="both"/>
      </w:pPr>
      <w:r>
        <w:t xml:space="preserve">Jednym z kluczowych wydarzeń ostatnich dni był </w:t>
      </w:r>
      <w:r w:rsidRPr="00E97470">
        <w:rPr>
          <w:b/>
          <w:color w:val="FF0000"/>
        </w:rPr>
        <w:t>drastyczny spadek cen surowców w piątek  28 listopada.</w:t>
      </w:r>
      <w:r>
        <w:t xml:space="preserve"> W rezultacie indeks cen surowców CRB przełamał swe ważne wsparcia z </w:t>
      </w:r>
      <w:r w:rsidRPr="00A47909">
        <w:rPr>
          <w:b/>
        </w:rPr>
        <w:t>na wykresach cen miedzi i ropy naftowej mamy do czynienia z wybiciem z bardzo dużych formacji podwójnego szczytu,</w:t>
      </w:r>
      <w:r>
        <w:t xml:space="preserve"> które w perspektywie średnioterminowej mogą doprowadzić do spadków cen </w:t>
      </w:r>
      <w:r w:rsidR="00E97470">
        <w:t xml:space="preserve">miedzi i ropy naftowej </w:t>
      </w:r>
      <w:r>
        <w:t xml:space="preserve">o kilkanaście procent. Oczywiście spadki te poprzedzone mogą być pewnym wzrostowym odreagowaniem. Analizując wykres siły względnej PKO BP / KGHM </w:t>
      </w:r>
      <w:r w:rsidRPr="00A47909">
        <w:rPr>
          <w:b/>
        </w:rPr>
        <w:t>można dostrzec sygnały zwiastujące przepływ kapitału z segmentu spółek inflacyjnych</w:t>
      </w:r>
      <w:r>
        <w:t xml:space="preserve"> (KGHM) w kierunku </w:t>
      </w:r>
      <w:r w:rsidRPr="00E97470">
        <w:rPr>
          <w:b/>
          <w:u w:val="single"/>
        </w:rPr>
        <w:t>spółek deflacyjnych</w:t>
      </w:r>
      <w:r w:rsidR="00E97470">
        <w:t xml:space="preserve"> </w:t>
      </w:r>
      <w:r w:rsidR="00E97470" w:rsidRPr="00E97470">
        <w:rPr>
          <w:b/>
          <w:color w:val="FF0000"/>
        </w:rPr>
        <w:t>(PKO BP)</w:t>
      </w:r>
      <w:r w:rsidR="00E97470">
        <w:t xml:space="preserve"> – wykres na str.6.</w:t>
      </w:r>
    </w:p>
    <w:p w:rsidR="005159E5" w:rsidRDefault="005159E5" w:rsidP="005159E5">
      <w:pPr>
        <w:pStyle w:val="Bezodstpw"/>
        <w:ind w:left="720"/>
        <w:jc w:val="both"/>
      </w:pPr>
    </w:p>
    <w:p w:rsidR="005159E5" w:rsidRPr="00180605" w:rsidRDefault="005159E5" w:rsidP="005159E5">
      <w:pPr>
        <w:pStyle w:val="Bezodstpw"/>
        <w:numPr>
          <w:ilvl w:val="0"/>
          <w:numId w:val="1"/>
        </w:numPr>
        <w:jc w:val="both"/>
      </w:pPr>
      <w:r>
        <w:t xml:space="preserve">Z sezonowego punktu widzenia </w:t>
      </w:r>
      <w:r w:rsidRPr="00E97470">
        <w:rPr>
          <w:b/>
          <w:color w:val="FF0000"/>
        </w:rPr>
        <w:t>wchodzimy w znakomity okres dla indeksu małych spółek</w:t>
      </w:r>
      <w:r w:rsidRPr="00A47909">
        <w:rPr>
          <w:b/>
        </w:rPr>
        <w:t xml:space="preserve"> </w:t>
      </w:r>
      <w:r>
        <w:t>(WIG 250). Z danych z lat 1995-2013 wynika bowiem, że okres od początku grudnia do końca kwietnia roku następnego jest dla posiadaczy akcji ,,maluchów” bardzo pomyślny</w:t>
      </w:r>
    </w:p>
    <w:p w:rsidR="005159E5" w:rsidRPr="00180605" w:rsidRDefault="005159E5" w:rsidP="005159E5">
      <w:pPr>
        <w:pStyle w:val="Bezodstpw"/>
        <w:jc w:val="both"/>
      </w:pPr>
    </w:p>
    <w:p w:rsidR="005159E5" w:rsidRDefault="005159E5" w:rsidP="005159E5">
      <w:pPr>
        <w:pStyle w:val="Bezodstpw"/>
        <w:ind w:left="720"/>
        <w:jc w:val="both"/>
      </w:pPr>
      <w:r>
        <w:t xml:space="preserve">Opracował: </w:t>
      </w:r>
      <w:r w:rsidRPr="00AA453E">
        <w:t>Sławomir Kłusek</w:t>
      </w:r>
      <w:r>
        <w:t>, 1 grudnia 2014 r.</w:t>
      </w:r>
    </w:p>
    <w:p w:rsidR="005159E5" w:rsidRDefault="005159E5" w:rsidP="005159E5">
      <w:pPr>
        <w:pStyle w:val="Bezodstpw"/>
        <w:ind w:left="720"/>
        <w:jc w:val="both"/>
      </w:pPr>
    </w:p>
    <w:p w:rsidR="005159E5" w:rsidRDefault="005159E5" w:rsidP="005159E5">
      <w:pPr>
        <w:pStyle w:val="Bezodstpw"/>
        <w:jc w:val="both"/>
      </w:pPr>
      <w:r>
        <w:t xml:space="preserve">Powyższy raport stanowi wyłącznie wyraz osobistych opinii autora. </w:t>
      </w:r>
    </w:p>
    <w:p w:rsidR="005159E5" w:rsidRDefault="005159E5" w:rsidP="005159E5">
      <w:pPr>
        <w:pStyle w:val="Bezodstpw"/>
        <w:jc w:val="both"/>
      </w:pPr>
    </w:p>
    <w:p w:rsidR="005159E5" w:rsidRDefault="005159E5" w:rsidP="005159E5">
      <w:pPr>
        <w:pStyle w:val="Bezodstpw"/>
        <w:jc w:val="both"/>
      </w:pPr>
      <w:r>
        <w:t xml:space="preserve">Treści zawarte na stronie internetowej </w:t>
      </w:r>
      <w:hyperlink r:id="rId23" w:history="1">
        <w:r w:rsidRPr="00093965">
          <w:rPr>
            <w:rStyle w:val="Hipercze"/>
          </w:rPr>
          <w:t>www.analizy-rynkowe.pl</w:t>
        </w:r>
      </w:hyperlink>
      <w:r>
        <w:t xml:space="preserve"> </w:t>
      </w:r>
      <w:r w:rsidRPr="00875D60">
        <w:t>nie stanowi</w:t>
      </w:r>
      <w:r>
        <w:t>ą</w:t>
      </w:r>
      <w:r w:rsidRPr="00875D60">
        <w:t xml:space="preserve"> "rekomendacji" w rozumieniu przepisów Rozporządzenia Ministra Finansów z dnia 19 października 2005 r. w sprawie informacji stanowiących rekomendacje dotyczące instrumentów finansowych, lub ich emitentów (</w:t>
      </w:r>
      <w:proofErr w:type="spellStart"/>
      <w:r w:rsidRPr="00875D60">
        <w:t>Dz.U</w:t>
      </w:r>
      <w:proofErr w:type="spellEnd"/>
      <w:r w:rsidRPr="00875D60">
        <w:t>. z 2005 r. Nr 206, poz. 1715).</w:t>
      </w:r>
    </w:p>
    <w:p w:rsidR="005159E5" w:rsidRDefault="005159E5" w:rsidP="005159E5">
      <w:pPr>
        <w:pStyle w:val="Bezodstpw"/>
        <w:jc w:val="both"/>
      </w:pPr>
    </w:p>
    <w:p w:rsidR="005159E5" w:rsidRDefault="005159E5" w:rsidP="005159E5">
      <w:pPr>
        <w:pStyle w:val="Bezodstpw"/>
        <w:jc w:val="both"/>
      </w:pPr>
      <w:r>
        <w:t xml:space="preserve">Autor nie ponosi odpowiedzialności za jakiekolwiek decyzje inwestycyjne podjęte na podstawie treści zawartych na stronie internetowej </w:t>
      </w:r>
      <w:hyperlink r:id="rId24" w:history="1">
        <w:r w:rsidRPr="00093965">
          <w:rPr>
            <w:rStyle w:val="Hipercze"/>
          </w:rPr>
          <w:t>www.analizy-rynkowe.pl</w:t>
        </w:r>
      </w:hyperlink>
    </w:p>
    <w:p w:rsidR="005159E5" w:rsidRDefault="005159E5" w:rsidP="005159E5">
      <w:pPr>
        <w:pStyle w:val="Bezodstpw"/>
        <w:jc w:val="both"/>
      </w:pPr>
    </w:p>
    <w:sectPr w:rsidR="005159E5" w:rsidSect="00C45C05">
      <w:footerReference w:type="default" r:id="rId25"/>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02E" w:rsidRDefault="00EA402E" w:rsidP="00253CB4">
      <w:pPr>
        <w:spacing w:after="0" w:line="240" w:lineRule="auto"/>
      </w:pPr>
      <w:r>
        <w:separator/>
      </w:r>
    </w:p>
  </w:endnote>
  <w:endnote w:type="continuationSeparator" w:id="0">
    <w:p w:rsidR="00EA402E" w:rsidRDefault="00EA402E" w:rsidP="00253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094"/>
      <w:docPartObj>
        <w:docPartGallery w:val="Page Numbers (Bottom of Page)"/>
        <w:docPartUnique/>
      </w:docPartObj>
    </w:sdtPr>
    <w:sdtContent>
      <w:p w:rsidR="00C45C05" w:rsidRDefault="00751D00">
        <w:pPr>
          <w:pStyle w:val="Stopka"/>
          <w:jc w:val="center"/>
        </w:pPr>
        <w:r>
          <w:fldChar w:fldCharType="begin"/>
        </w:r>
        <w:r w:rsidR="00E97470">
          <w:instrText>PAGE   \* MERGEFORMAT</w:instrText>
        </w:r>
        <w:r>
          <w:fldChar w:fldCharType="separate"/>
        </w:r>
        <w:r w:rsidR="00CF577D">
          <w:rPr>
            <w:noProof/>
          </w:rPr>
          <w:t>15</w:t>
        </w:r>
        <w:r>
          <w:fldChar w:fldCharType="end"/>
        </w:r>
      </w:p>
    </w:sdtContent>
  </w:sdt>
  <w:p w:rsidR="00C45C05" w:rsidRDefault="00EA402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02E" w:rsidRDefault="00EA402E" w:rsidP="00253CB4">
      <w:pPr>
        <w:spacing w:after="0" w:line="240" w:lineRule="auto"/>
      </w:pPr>
      <w:r>
        <w:separator/>
      </w:r>
    </w:p>
  </w:footnote>
  <w:footnote w:type="continuationSeparator" w:id="0">
    <w:p w:rsidR="00EA402E" w:rsidRDefault="00EA402E" w:rsidP="00253C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93AAB"/>
    <w:multiLevelType w:val="hybridMultilevel"/>
    <w:tmpl w:val="CA48B87A"/>
    <w:lvl w:ilvl="0" w:tplc="5AD895C2">
      <w:numFmt w:val="bullet"/>
      <w:lvlText w:val=""/>
      <w:lvlJc w:val="left"/>
      <w:pPr>
        <w:ind w:left="720" w:hanging="360"/>
      </w:pPr>
      <w:rPr>
        <w:rFonts w:ascii="Wingdings" w:eastAsiaTheme="minorEastAsia"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159E5"/>
    <w:rsid w:val="000E4446"/>
    <w:rsid w:val="001F76CC"/>
    <w:rsid w:val="00253CB4"/>
    <w:rsid w:val="005159E5"/>
    <w:rsid w:val="00662DE5"/>
    <w:rsid w:val="00751D00"/>
    <w:rsid w:val="00CF577D"/>
    <w:rsid w:val="00E97470"/>
    <w:rsid w:val="00EA402E"/>
    <w:rsid w:val="00EE5E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59E5"/>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159E5"/>
    <w:pPr>
      <w:spacing w:after="0" w:line="240" w:lineRule="auto"/>
    </w:pPr>
    <w:rPr>
      <w:rFonts w:eastAsiaTheme="minorEastAsia"/>
      <w:lang w:eastAsia="pl-PL"/>
    </w:rPr>
  </w:style>
  <w:style w:type="paragraph" w:styleId="Stopka">
    <w:name w:val="footer"/>
    <w:basedOn w:val="Normalny"/>
    <w:link w:val="StopkaZnak"/>
    <w:uiPriority w:val="99"/>
    <w:unhideWhenUsed/>
    <w:rsid w:val="005159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59E5"/>
    <w:rPr>
      <w:rFonts w:eastAsiaTheme="minorEastAsia"/>
      <w:lang w:eastAsia="pl-PL"/>
    </w:rPr>
  </w:style>
  <w:style w:type="character" w:styleId="Hipercze">
    <w:name w:val="Hyperlink"/>
    <w:basedOn w:val="Domylnaczcionkaakapitu"/>
    <w:uiPriority w:val="99"/>
    <w:unhideWhenUsed/>
    <w:rsid w:val="005159E5"/>
    <w:rPr>
      <w:color w:val="0000FF" w:themeColor="hyperlink"/>
      <w:u w:val="single"/>
    </w:rPr>
  </w:style>
  <w:style w:type="table" w:styleId="Tabela-Siatka">
    <w:name w:val="Table Grid"/>
    <w:basedOn w:val="Standardowy"/>
    <w:uiPriority w:val="59"/>
    <w:rsid w:val="00515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159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59E5"/>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8.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hyperlink" Target="http://www.analizy-rynkowe.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nalizy-rynkowe.pl" TargetMode="External"/><Relationship Id="rId20" Type="http://schemas.openxmlformats.org/officeDocument/2006/relationships/hyperlink" Target="http://mojeinwestycje.interia.pl/gie/prof/spolki/finanse?wlid=41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yperlink" Target="http://www.analizy-rynkowe.pl" TargetMode="External"/><Relationship Id="rId5" Type="http://schemas.openxmlformats.org/officeDocument/2006/relationships/footnotes" Target="footnotes.xml"/><Relationship Id="rId15" Type="http://schemas.openxmlformats.org/officeDocument/2006/relationships/hyperlink" Target="http://www.analizy-rynkowe.pl" TargetMode="External"/><Relationship Id="rId23" Type="http://schemas.openxmlformats.org/officeDocument/2006/relationships/hyperlink" Target="http://www.analizy-rynkowe.pl" TargetMode="External"/><Relationship Id="rId10" Type="http://schemas.openxmlformats.org/officeDocument/2006/relationships/image" Target="media/image4.gif"/><Relationship Id="rId19"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analizy-rynkowe.pl/poczekalnia-pko-bank-polski/" TargetMode="External"/><Relationship Id="rId22" Type="http://schemas.openxmlformats.org/officeDocument/2006/relationships/image" Target="media/image11.gif"/><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3832</Words>
  <Characters>22996</Characters>
  <Application>Microsoft Office Word</Application>
  <DocSecurity>0</DocSecurity>
  <Lines>191</Lines>
  <Paragraphs>53</Paragraphs>
  <ScaleCrop>false</ScaleCrop>
  <Company/>
  <LinksUpToDate>false</LinksUpToDate>
  <CharactersWithSpaces>26775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3</cp:revision>
  <dcterms:created xsi:type="dcterms:W3CDTF">2014-11-30T19:48:00Z</dcterms:created>
  <dcterms:modified xsi:type="dcterms:W3CDTF">2014-11-30T19:54:00Z</dcterms:modified>
</cp:coreProperties>
</file>