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A8" w:rsidRPr="00C16D3A" w:rsidRDefault="00C80FA8" w:rsidP="00C80FA8">
      <w:pPr>
        <w:pStyle w:val="Bezodstpw"/>
        <w:jc w:val="center"/>
        <w:rPr>
          <w:shadow/>
          <w:color w:val="FF0000"/>
          <w:sz w:val="180"/>
          <w:szCs w:val="180"/>
        </w:rPr>
      </w:pPr>
      <w:r w:rsidRPr="00C16D3A">
        <w:rPr>
          <w:shadow/>
          <w:color w:val="FF0000"/>
          <w:sz w:val="180"/>
          <w:szCs w:val="180"/>
        </w:rPr>
        <w:t>Raport</w:t>
      </w:r>
    </w:p>
    <w:p w:rsidR="00C80FA8" w:rsidRDefault="00C80FA8" w:rsidP="00C80FA8">
      <w:pPr>
        <w:pStyle w:val="Bezodstpw"/>
        <w:jc w:val="center"/>
        <w:rPr>
          <w:shadow/>
          <w:color w:val="FF0000"/>
          <w:sz w:val="180"/>
          <w:szCs w:val="180"/>
        </w:rPr>
      </w:pPr>
      <w:r w:rsidRPr="00C16D3A">
        <w:rPr>
          <w:shadow/>
          <w:color w:val="FF0000"/>
          <w:sz w:val="180"/>
          <w:szCs w:val="180"/>
        </w:rPr>
        <w:t>Tygodniowy</w:t>
      </w:r>
    </w:p>
    <w:p w:rsidR="00C80FA8" w:rsidRPr="00BB2EC3" w:rsidRDefault="00C80FA8" w:rsidP="00C80FA8">
      <w:pPr>
        <w:pStyle w:val="Bezodstpw"/>
        <w:jc w:val="center"/>
        <w:rPr>
          <w:shadow/>
          <w:color w:val="FF0000"/>
          <w:sz w:val="100"/>
          <w:szCs w:val="100"/>
        </w:rPr>
      </w:pPr>
      <w:r w:rsidRPr="00BB2EC3">
        <w:rPr>
          <w:shadow/>
          <w:color w:val="FF0000"/>
          <w:sz w:val="100"/>
          <w:szCs w:val="100"/>
        </w:rPr>
        <w:t>o sytuacji na</w:t>
      </w:r>
    </w:p>
    <w:p w:rsidR="00C80FA8" w:rsidRPr="00BB2EC3" w:rsidRDefault="00C80FA8" w:rsidP="00C80FA8">
      <w:pPr>
        <w:pStyle w:val="Bezodstpw"/>
        <w:jc w:val="center"/>
        <w:rPr>
          <w:shadow/>
          <w:color w:val="FF0000"/>
          <w:sz w:val="100"/>
          <w:szCs w:val="100"/>
        </w:rPr>
      </w:pPr>
      <w:r w:rsidRPr="00BB2EC3">
        <w:rPr>
          <w:shadow/>
          <w:color w:val="FF0000"/>
          <w:sz w:val="100"/>
          <w:szCs w:val="100"/>
        </w:rPr>
        <w:t>rynkach finansowych</w:t>
      </w:r>
    </w:p>
    <w:p w:rsidR="00C80FA8" w:rsidRPr="00400806" w:rsidRDefault="00C80FA8" w:rsidP="00C80FA8">
      <w:pPr>
        <w:pStyle w:val="Bezodstpw"/>
        <w:jc w:val="center"/>
        <w:rPr>
          <w:sz w:val="48"/>
          <w:szCs w:val="48"/>
        </w:rPr>
      </w:pPr>
    </w:p>
    <w:p w:rsidR="00C80FA8" w:rsidRDefault="00C80FA8" w:rsidP="00C80FA8">
      <w:pPr>
        <w:pStyle w:val="Bezodstpw"/>
        <w:jc w:val="center"/>
        <w:rPr>
          <w:sz w:val="48"/>
          <w:szCs w:val="48"/>
        </w:rPr>
      </w:pPr>
    </w:p>
    <w:p w:rsidR="00C80FA8" w:rsidRPr="009A4255" w:rsidRDefault="00C80FA8" w:rsidP="00C80FA8">
      <w:pPr>
        <w:pStyle w:val="Bezodstpw"/>
        <w:jc w:val="center"/>
        <w:rPr>
          <w:shadow/>
          <w:sz w:val="100"/>
          <w:szCs w:val="100"/>
          <w:u w:val="single"/>
        </w:rPr>
      </w:pPr>
      <w:r w:rsidRPr="009A4255">
        <w:rPr>
          <w:shadow/>
          <w:sz w:val="100"/>
          <w:szCs w:val="100"/>
          <w:u w:val="single"/>
        </w:rPr>
        <w:t>Rynek walutowy</w:t>
      </w:r>
    </w:p>
    <w:p w:rsidR="00C80FA8" w:rsidRPr="009A4255" w:rsidRDefault="00C80FA8" w:rsidP="00C80FA8">
      <w:pPr>
        <w:pStyle w:val="Bezodstpw"/>
        <w:jc w:val="center"/>
        <w:rPr>
          <w:shadow/>
          <w:sz w:val="100"/>
          <w:szCs w:val="100"/>
        </w:rPr>
      </w:pPr>
    </w:p>
    <w:p w:rsidR="00C80FA8" w:rsidRPr="009A4255" w:rsidRDefault="00C80FA8" w:rsidP="00C80FA8">
      <w:pPr>
        <w:pStyle w:val="Bezodstpw"/>
        <w:jc w:val="center"/>
        <w:rPr>
          <w:shadow/>
          <w:sz w:val="100"/>
          <w:szCs w:val="100"/>
          <w:u w:val="single"/>
        </w:rPr>
      </w:pPr>
      <w:r w:rsidRPr="009A4255">
        <w:rPr>
          <w:shadow/>
          <w:sz w:val="100"/>
          <w:szCs w:val="100"/>
          <w:u w:val="single"/>
        </w:rPr>
        <w:t>Rynek akcji</w:t>
      </w: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Default="00C80FA8" w:rsidP="00C80FA8">
      <w:pPr>
        <w:pStyle w:val="Bezodstpw"/>
        <w:jc w:val="both"/>
      </w:pPr>
    </w:p>
    <w:p w:rsidR="00C80FA8" w:rsidRPr="00D72F94" w:rsidRDefault="00C80FA8" w:rsidP="00C80FA8">
      <w:pPr>
        <w:pStyle w:val="Bezodstpw"/>
        <w:jc w:val="both"/>
        <w:rPr>
          <w:shadow/>
          <w:sz w:val="24"/>
          <w:szCs w:val="24"/>
        </w:rPr>
      </w:pPr>
      <w:r w:rsidRPr="00D72F94">
        <w:rPr>
          <w:shadow/>
          <w:sz w:val="24"/>
          <w:szCs w:val="24"/>
        </w:rPr>
        <w:lastRenderedPageBreak/>
        <w:t xml:space="preserve">Poniedziałek, </w:t>
      </w:r>
      <w:r w:rsidR="001B7F97">
        <w:rPr>
          <w:shadow/>
          <w:sz w:val="24"/>
          <w:szCs w:val="24"/>
        </w:rPr>
        <w:t>13</w:t>
      </w:r>
      <w:r>
        <w:rPr>
          <w:shadow/>
          <w:sz w:val="24"/>
          <w:szCs w:val="24"/>
        </w:rPr>
        <w:t xml:space="preserve"> października </w:t>
      </w:r>
      <w:r w:rsidRPr="00D72F94">
        <w:rPr>
          <w:shadow/>
          <w:sz w:val="24"/>
          <w:szCs w:val="24"/>
        </w:rPr>
        <w:t>2014 roku</w:t>
      </w:r>
    </w:p>
    <w:p w:rsidR="00C80FA8" w:rsidRDefault="00C80FA8" w:rsidP="00C80FA8">
      <w:pPr>
        <w:pStyle w:val="Bezodstpw"/>
        <w:jc w:val="both"/>
      </w:pPr>
    </w:p>
    <w:p w:rsidR="00C80FA8" w:rsidRDefault="00C80FA8" w:rsidP="00C80FA8">
      <w:pPr>
        <w:pStyle w:val="Bezodstpw"/>
        <w:pBdr>
          <w:top w:val="single" w:sz="4" w:space="1" w:color="auto"/>
          <w:left w:val="single" w:sz="4" w:space="4" w:color="auto"/>
          <w:bottom w:val="single" w:sz="4" w:space="1" w:color="auto"/>
          <w:right w:val="single" w:sz="4" w:space="4" w:color="auto"/>
        </w:pBdr>
        <w:jc w:val="center"/>
      </w:pPr>
      <w:r>
        <w:t xml:space="preserve">Kurs USD/PLN – perspektywa długoterminowa, kurs z </w:t>
      </w:r>
      <w:r w:rsidR="001B7F97">
        <w:t>10</w:t>
      </w:r>
      <w:r>
        <w:t xml:space="preserve"> października 2014 roku = 3,</w:t>
      </w:r>
      <w:r w:rsidR="00772A4A">
        <w:t>3205</w:t>
      </w:r>
    </w:p>
    <w:p w:rsidR="00C80FA8" w:rsidRDefault="00C80FA8" w:rsidP="00C80FA8">
      <w:pPr>
        <w:pStyle w:val="Bezodstpw"/>
        <w:jc w:val="both"/>
      </w:pPr>
    </w:p>
    <w:p w:rsidR="00C80FA8" w:rsidRDefault="0051739D" w:rsidP="00C80FA8">
      <w:pPr>
        <w:pStyle w:val="Bezodstpw"/>
        <w:jc w:val="both"/>
      </w:pPr>
      <w:r>
        <w:rPr>
          <w:noProof/>
        </w:rPr>
        <w:drawing>
          <wp:inline distT="0" distB="0" distL="0" distR="0">
            <wp:extent cx="3771900" cy="22764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71900" cy="2276475"/>
                    </a:xfrm>
                    <a:prstGeom prst="rect">
                      <a:avLst/>
                    </a:prstGeom>
                    <a:noFill/>
                  </pic:spPr>
                </pic:pic>
              </a:graphicData>
            </a:graphic>
          </wp:inline>
        </w:drawing>
      </w:r>
    </w:p>
    <w:p w:rsidR="00C80FA8" w:rsidRDefault="00C80FA8" w:rsidP="00C80FA8">
      <w:pPr>
        <w:pStyle w:val="Bezodstpw"/>
        <w:jc w:val="both"/>
      </w:pPr>
      <w:r>
        <w:t xml:space="preserve">Sytuacja długoterminowa </w:t>
      </w:r>
      <w:r w:rsidRPr="002F417B">
        <w:rPr>
          <w:b/>
          <w:u w:val="single"/>
        </w:rPr>
        <w:t>bez zmian</w:t>
      </w:r>
      <w:r>
        <w:t xml:space="preserve">. Kurs dolara (w złotych) nadal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w:t>
      </w:r>
      <w:r>
        <w:rPr>
          <w:b/>
          <w:color w:val="FF0000"/>
        </w:rPr>
        <w:t>10</w:t>
      </w:r>
      <w:r>
        <w:t xml:space="preserve">. W kolejnych miesiącach z natury rzeczy przebiegać będzie ona na coraz niższym poziomie – w końcu października na poziomie 3,408, w końcu października na poziomie 3,401,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w:t>
      </w:r>
      <w:r w:rsidRPr="007A4135">
        <w:rPr>
          <w:b/>
        </w:rPr>
        <w:t>P</w:t>
      </w:r>
      <w:r w:rsidRPr="007A4135">
        <w:rPr>
          <w:b/>
          <w:u w:val="single"/>
        </w:rPr>
        <w:t>rz</w:t>
      </w:r>
      <w:r w:rsidRPr="004E7F4F">
        <w:rPr>
          <w:b/>
          <w:u w:val="single"/>
        </w:rPr>
        <w:t>ebita</w:t>
      </w:r>
      <w:r w:rsidRPr="00EC4DE7">
        <w:rPr>
          <w:b/>
        </w:rPr>
        <w:t xml:space="preserve"> została od dołu</w:t>
      </w:r>
      <w:r>
        <w:t xml:space="preserve"> </w:t>
      </w:r>
      <w:r w:rsidRPr="004E7F4F">
        <w:rPr>
          <w:b/>
        </w:rPr>
        <w:t>linia</w:t>
      </w:r>
      <w:r>
        <w:t xml:space="preserve"> poprowadzona przez szczyty z czerwca 2012 roku oraz lipca 2013 roku. </w:t>
      </w:r>
    </w:p>
    <w:p w:rsidR="00C80FA8" w:rsidRDefault="00C80FA8" w:rsidP="00C80FA8">
      <w:pPr>
        <w:pStyle w:val="Bezodstpw"/>
        <w:jc w:val="both"/>
      </w:pPr>
    </w:p>
    <w:p w:rsidR="00C80FA8" w:rsidRDefault="00C80FA8" w:rsidP="00C80FA8">
      <w:pPr>
        <w:pStyle w:val="Bezodstpw"/>
        <w:pBdr>
          <w:top w:val="single" w:sz="4" w:space="1" w:color="auto"/>
          <w:left w:val="single" w:sz="4" w:space="4" w:color="auto"/>
          <w:bottom w:val="single" w:sz="4" w:space="1" w:color="auto"/>
          <w:right w:val="single" w:sz="4" w:space="4" w:color="auto"/>
        </w:pBdr>
        <w:jc w:val="center"/>
      </w:pPr>
      <w:r>
        <w:t xml:space="preserve">Kurs EUR/PLN – perspektywa długoterminowa, kurs z </w:t>
      </w:r>
      <w:r w:rsidR="001B7F97">
        <w:t>10</w:t>
      </w:r>
      <w:r>
        <w:t xml:space="preserve"> października 2014 roku = 4,18</w:t>
      </w:r>
      <w:r w:rsidR="00772A4A">
        <w:t>82</w:t>
      </w:r>
    </w:p>
    <w:p w:rsidR="00C80FA8" w:rsidRDefault="00C80FA8" w:rsidP="00C80FA8">
      <w:pPr>
        <w:pStyle w:val="Bezodstpw"/>
        <w:jc w:val="both"/>
      </w:pPr>
    </w:p>
    <w:p w:rsidR="00C80FA8" w:rsidRDefault="0051739D" w:rsidP="00C80FA8">
      <w:pPr>
        <w:pStyle w:val="Bezodstpw"/>
        <w:jc w:val="both"/>
      </w:pPr>
      <w:r>
        <w:rPr>
          <w:noProof/>
        </w:rPr>
        <w:drawing>
          <wp:inline distT="0" distB="0" distL="0" distR="0">
            <wp:extent cx="3771900" cy="2276475"/>
            <wp:effectExtent l="1905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771900" cy="2276475"/>
                    </a:xfrm>
                    <a:prstGeom prst="rect">
                      <a:avLst/>
                    </a:prstGeom>
                    <a:noFill/>
                  </pic:spPr>
                </pic:pic>
              </a:graphicData>
            </a:graphic>
          </wp:inline>
        </w:drawing>
      </w:r>
    </w:p>
    <w:p w:rsidR="00C80FA8" w:rsidRDefault="00C80FA8" w:rsidP="00C80FA8">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70</w:t>
      </w:r>
      <w:r>
        <w:t>. W kolejnych miesiącach z natury rzeczy przebiegać będzie ona na coraz niższym poziomie – w końcu października na poziomie 4,263,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4E7F4F">
        <w:rPr>
          <w:b/>
          <w:u w:val="single"/>
        </w:rPr>
        <w:t xml:space="preserve">naruszona została </w:t>
      </w:r>
      <w:r w:rsidRPr="00EC4DE7">
        <w:rPr>
          <w:b/>
        </w:rPr>
        <w:t>od dołu nieco niższa linia</w:t>
      </w:r>
      <w:r>
        <w:t xml:space="preserve"> poprowadzona przez szczyty z grudnia 2011 roku oraz czerwca 2013 roku. </w:t>
      </w:r>
    </w:p>
    <w:p w:rsidR="0051739D" w:rsidRDefault="0051739D" w:rsidP="00C80FA8">
      <w:pPr>
        <w:pStyle w:val="Bezodstpw"/>
        <w:jc w:val="both"/>
      </w:pPr>
    </w:p>
    <w:p w:rsidR="006D4AFC" w:rsidRDefault="006D4AFC" w:rsidP="006D4AFC">
      <w:pPr>
        <w:pStyle w:val="Bezodstpw"/>
        <w:pBdr>
          <w:top w:val="single" w:sz="4" w:space="1" w:color="auto"/>
          <w:left w:val="single" w:sz="4" w:space="4" w:color="auto"/>
          <w:bottom w:val="single" w:sz="4" w:space="1" w:color="auto"/>
          <w:right w:val="single" w:sz="4" w:space="4" w:color="auto"/>
        </w:pBdr>
        <w:jc w:val="center"/>
      </w:pPr>
      <w:r>
        <w:lastRenderedPageBreak/>
        <w:t>Indeks walutowy Polish Basket Zloty</w:t>
      </w:r>
    </w:p>
    <w:p w:rsidR="006D4AFC" w:rsidRDefault="006D4AFC" w:rsidP="006D4AFC">
      <w:pPr>
        <w:pStyle w:val="Bezodstpw"/>
        <w:jc w:val="both"/>
      </w:pPr>
    </w:p>
    <w:p w:rsidR="006D4AFC" w:rsidRDefault="006D4AFC" w:rsidP="006D4AFC">
      <w:pPr>
        <w:pStyle w:val="Bezodstpw"/>
        <w:jc w:val="both"/>
      </w:pPr>
      <w:r>
        <w:t xml:space="preserve">Indeks walutowy </w:t>
      </w:r>
      <w:r w:rsidRPr="00721A71">
        <w:t xml:space="preserve">Polish Zloty Basket to </w:t>
      </w:r>
      <w:r>
        <w:t xml:space="preserve">wskaźnik </w:t>
      </w:r>
      <w:r w:rsidRPr="00721A71">
        <w:t xml:space="preserve">wyliczany przez </w:t>
      </w:r>
      <w:r>
        <w:t xml:space="preserve">portal internetowy </w:t>
      </w:r>
      <w:r w:rsidRPr="00B5787B">
        <w:t>Stooq, odzwierciedlający cenę euro i dolara amerykańskiego w polskich złotych w proporcji 55:45</w:t>
      </w:r>
      <w:r w:rsidRPr="00B5787B">
        <w:rPr>
          <w:u w:val="single"/>
        </w:rPr>
        <w:t>.</w:t>
      </w:r>
      <w:r w:rsidRPr="00721A71">
        <w:t xml:space="preserve"> Wartość wskaźnika wyliczana jest z sumy </w:t>
      </w:r>
      <w:r w:rsidRPr="00B5787B">
        <w:rPr>
          <w:b/>
        </w:rPr>
        <w:t xml:space="preserve">iloczynu kursu EUR/PLN i współczynnika 0.55 oraz iloczynu kursu USD/PLN i współczynnika 0.45. </w:t>
      </w:r>
      <w:r w:rsidRPr="00721A71">
        <w:t>Datą startową jest 4 stycznia 1993 roku.</w:t>
      </w:r>
      <w:r>
        <w:t xml:space="preserve"> </w:t>
      </w:r>
    </w:p>
    <w:p w:rsidR="006D4AFC" w:rsidRDefault="006D4AFC" w:rsidP="006D4AFC">
      <w:pPr>
        <w:pStyle w:val="Bezodstpw"/>
        <w:jc w:val="both"/>
      </w:pPr>
    </w:p>
    <w:p w:rsidR="006D4AFC" w:rsidRDefault="006D4AFC" w:rsidP="006D4AFC">
      <w:pPr>
        <w:pStyle w:val="Bezodstpw"/>
        <w:jc w:val="both"/>
      </w:pPr>
      <w:r>
        <w:t xml:space="preserve">Na wykresie analizowanego indeksu walutowego doszło do </w:t>
      </w:r>
      <w:r w:rsidRPr="00FF437C">
        <w:rPr>
          <w:b/>
        </w:rPr>
        <w:t xml:space="preserve">wybicia z </w:t>
      </w:r>
      <w:r>
        <w:rPr>
          <w:b/>
        </w:rPr>
        <w:t xml:space="preserve">bardzo dużej </w:t>
      </w:r>
      <w:r w:rsidRPr="00FF437C">
        <w:rPr>
          <w:b/>
        </w:rPr>
        <w:t>formacji podwójnego dna</w:t>
      </w:r>
      <w:r>
        <w:t xml:space="preserve">, co pokazuje wykres na tej stronie. Gdyby formacja ta miała się zrealizować oznaczałoby to wzrost indeksu walutowego </w:t>
      </w:r>
      <w:r w:rsidRPr="00721A71">
        <w:t>Polish Zloty Basket</w:t>
      </w:r>
      <w:r>
        <w:t xml:space="preserve"> </w:t>
      </w:r>
      <w:r w:rsidRPr="00BB4F68">
        <w:rPr>
          <w:b/>
          <w:color w:val="FF0000"/>
        </w:rPr>
        <w:t xml:space="preserve">o </w:t>
      </w:r>
      <w:r>
        <w:rPr>
          <w:b/>
          <w:color w:val="FF0000"/>
        </w:rPr>
        <w:t>2</w:t>
      </w:r>
      <w:r w:rsidRPr="00BB4F68">
        <w:rPr>
          <w:b/>
          <w:color w:val="FF0000"/>
        </w:rPr>
        <w:t>,</w:t>
      </w:r>
      <w:r>
        <w:rPr>
          <w:b/>
          <w:color w:val="FF0000"/>
        </w:rPr>
        <w:t>9</w:t>
      </w:r>
      <w:r w:rsidRPr="00BB4F68">
        <w:rPr>
          <w:b/>
          <w:color w:val="FF0000"/>
        </w:rPr>
        <w:t xml:space="preserve"> %.</w:t>
      </w:r>
      <w:r>
        <w:rPr>
          <w:b/>
          <w:color w:val="FF0000"/>
        </w:rPr>
        <w:t xml:space="preserve"> </w:t>
      </w:r>
      <w:r>
        <w:t xml:space="preserve">Jednocześnie </w:t>
      </w:r>
      <w:r w:rsidRPr="00492715">
        <w:rPr>
          <w:u w:val="single"/>
        </w:rPr>
        <w:t>przebita została spadkowa linia trendu poprowadzona przez szczyt</w:t>
      </w:r>
      <w:r>
        <w:rPr>
          <w:u w:val="single"/>
        </w:rPr>
        <w:t>y</w:t>
      </w:r>
      <w:r w:rsidRPr="00492715">
        <w:rPr>
          <w:u w:val="single"/>
        </w:rPr>
        <w:t xml:space="preserve"> z lutego 2009 roku, grudnia 2011 roku oraz czerwca 2012 roku</w:t>
      </w:r>
      <w:r>
        <w:t xml:space="preserve"> (potem jeszcze indeks zbliżył się do tej linii w lipcu 2013 roku).</w:t>
      </w:r>
    </w:p>
    <w:p w:rsidR="006D4AFC" w:rsidRDefault="006D4AFC" w:rsidP="006D4AFC">
      <w:pPr>
        <w:pStyle w:val="Bezodstpw"/>
        <w:jc w:val="both"/>
      </w:pPr>
    </w:p>
    <w:p w:rsidR="006D4AFC" w:rsidRDefault="006D4AFC" w:rsidP="006D4AFC">
      <w:pPr>
        <w:pStyle w:val="Bezodstpw"/>
        <w:jc w:val="both"/>
      </w:pPr>
      <w:r>
        <w:t xml:space="preserve">Biorąc powyższe czynniki pod uwagę można założyć, że czekają nas jeszcze wzrosty kursów walut zagranicznych (dolara w złotych oraz euro w złotych). </w:t>
      </w:r>
    </w:p>
    <w:p w:rsidR="00D30787" w:rsidRDefault="00D30787" w:rsidP="006D4AFC">
      <w:pPr>
        <w:pStyle w:val="Bezodstpw"/>
        <w:jc w:val="both"/>
      </w:pPr>
    </w:p>
    <w:p w:rsidR="00D30787" w:rsidRDefault="00D30787" w:rsidP="006D4AFC">
      <w:pPr>
        <w:pStyle w:val="Bezodstpw"/>
        <w:jc w:val="both"/>
      </w:pPr>
      <w:r w:rsidRPr="00D30787">
        <w:rPr>
          <w:noProof/>
        </w:rPr>
        <w:drawing>
          <wp:inline distT="0" distB="0" distL="0" distR="0">
            <wp:extent cx="5759450" cy="3468152"/>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59450" cy="3468152"/>
                    </a:xfrm>
                    <a:prstGeom prst="rect">
                      <a:avLst/>
                    </a:prstGeom>
                    <a:noFill/>
                  </pic:spPr>
                </pic:pic>
              </a:graphicData>
            </a:graphic>
          </wp:inline>
        </w:drawing>
      </w:r>
    </w:p>
    <w:p w:rsidR="0051739D" w:rsidRDefault="0051739D" w:rsidP="00C80FA8">
      <w:pPr>
        <w:pStyle w:val="Bezodstpw"/>
        <w:jc w:val="both"/>
      </w:pPr>
    </w:p>
    <w:p w:rsidR="00A41A2A" w:rsidRDefault="00A41A2A" w:rsidP="00C80FA8">
      <w:pPr>
        <w:pStyle w:val="Bezodstpw"/>
        <w:jc w:val="both"/>
      </w:pPr>
    </w:p>
    <w:p w:rsidR="00A41A2A" w:rsidRDefault="00A41A2A" w:rsidP="00A41A2A">
      <w:pPr>
        <w:pStyle w:val="Bezodstpw"/>
        <w:pBdr>
          <w:top w:val="single" w:sz="4" w:space="1" w:color="auto"/>
          <w:left w:val="single" w:sz="4" w:space="4" w:color="auto"/>
          <w:bottom w:val="single" w:sz="4" w:space="1" w:color="auto"/>
          <w:right w:val="single" w:sz="4" w:space="4" w:color="auto"/>
        </w:pBdr>
        <w:jc w:val="center"/>
      </w:pPr>
      <w:r>
        <w:t xml:space="preserve">Ciekawy przypadek – jen japoński (w złotych) w kontekście metody 1-2-3 Victora </w:t>
      </w:r>
      <w:proofErr w:type="spellStart"/>
      <w:r>
        <w:t>Sperandeo</w:t>
      </w:r>
      <w:proofErr w:type="spellEnd"/>
    </w:p>
    <w:p w:rsidR="00A41A2A" w:rsidRDefault="00A41A2A" w:rsidP="00C80FA8">
      <w:pPr>
        <w:pStyle w:val="Bezodstpw"/>
        <w:jc w:val="both"/>
      </w:pPr>
    </w:p>
    <w:p w:rsidR="00A41A2A" w:rsidRDefault="00A41A2A" w:rsidP="00C80FA8">
      <w:pPr>
        <w:pStyle w:val="Bezodstpw"/>
        <w:jc w:val="both"/>
      </w:pPr>
    </w:p>
    <w:p w:rsidR="00A41A2A" w:rsidRDefault="00A41A2A" w:rsidP="00A41A2A">
      <w:pPr>
        <w:pStyle w:val="Bezodstpw"/>
        <w:jc w:val="both"/>
      </w:pPr>
      <w:r>
        <w:t xml:space="preserve">Victor </w:t>
      </w:r>
      <w:proofErr w:type="spellStart"/>
      <w:r>
        <w:t>Sperandeo</w:t>
      </w:r>
      <w:proofErr w:type="spellEnd"/>
      <w:r>
        <w:t xml:space="preserve"> napisał niegdyś książkę ,,</w:t>
      </w:r>
      <w:proofErr w:type="spellStart"/>
      <w:r>
        <w:t>Trader</w:t>
      </w:r>
      <w:proofErr w:type="spellEnd"/>
      <w:r>
        <w:t xml:space="preserve"> VIC Metody Mistrza Wall Street”. W książce tej wyjawia pewien sekret swego sukcesu. Okazuje się otóż, że źródłem sukcesów Victora </w:t>
      </w:r>
      <w:proofErr w:type="spellStart"/>
      <w:r>
        <w:t>Sperandeo</w:t>
      </w:r>
      <w:proofErr w:type="spellEnd"/>
      <w:r>
        <w:t xml:space="preserve"> jest stosowanie między innymi tak zwanej metody 1-2-3. </w:t>
      </w:r>
    </w:p>
    <w:p w:rsidR="00A41A2A" w:rsidRDefault="00A41A2A" w:rsidP="00A41A2A">
      <w:pPr>
        <w:pStyle w:val="Bezodstpw"/>
        <w:jc w:val="both"/>
      </w:pPr>
    </w:p>
    <w:p w:rsidR="00A41A2A" w:rsidRDefault="00A118E9" w:rsidP="00A41A2A">
      <w:pPr>
        <w:pStyle w:val="Bezodstpw"/>
        <w:jc w:val="both"/>
      </w:pPr>
      <w:r>
        <w:t>Przypomnę teraz</w:t>
      </w:r>
      <w:r w:rsidR="00A41A2A">
        <w:t xml:space="preserve"> na czym ta metoda polega</w:t>
      </w:r>
      <w:r w:rsidR="00B955C6">
        <w:t>.</w:t>
      </w:r>
      <w:r w:rsidR="00A41A2A">
        <w:t xml:space="preserve">  Pisałem o tym także w numerze ,,Raportu Tygodniowego” z 29 października 2014 roku. </w:t>
      </w:r>
    </w:p>
    <w:p w:rsidR="00A41A2A" w:rsidRDefault="00A41A2A" w:rsidP="00A41A2A">
      <w:pPr>
        <w:pStyle w:val="Bezodstpw"/>
        <w:jc w:val="both"/>
      </w:pPr>
    </w:p>
    <w:p w:rsidR="00A41A2A" w:rsidRDefault="00A41A2A" w:rsidP="00A41A2A">
      <w:pPr>
        <w:pStyle w:val="Bezodstpw"/>
        <w:jc w:val="both"/>
      </w:pPr>
      <w:r>
        <w:t xml:space="preserve">W swojej książce </w:t>
      </w:r>
      <w:proofErr w:type="spellStart"/>
      <w:r>
        <w:t>Sperandeo</w:t>
      </w:r>
      <w:proofErr w:type="spellEnd"/>
      <w:r>
        <w:t xml:space="preserve"> pisze m.in., że metoda ta pozwala rozpoznać np. </w:t>
      </w:r>
      <w:r w:rsidRPr="00A118E9">
        <w:rPr>
          <w:b/>
        </w:rPr>
        <w:t>zmianę trendu</w:t>
      </w:r>
      <w:r>
        <w:t xml:space="preserve"> ze wzrostowego na spadkowy. Wymienia on w tym kontekście trzy fazy.</w:t>
      </w:r>
    </w:p>
    <w:p w:rsidR="00A41A2A" w:rsidRDefault="00A41A2A" w:rsidP="00A41A2A">
      <w:pPr>
        <w:pStyle w:val="Bezodstpw"/>
        <w:jc w:val="both"/>
      </w:pPr>
    </w:p>
    <w:p w:rsidR="00A41A2A" w:rsidRDefault="00A41A2A" w:rsidP="00A41A2A">
      <w:pPr>
        <w:pStyle w:val="Bezodstpw"/>
        <w:jc w:val="both"/>
      </w:pPr>
      <w:r>
        <w:lastRenderedPageBreak/>
        <w:t>Faza 1 – Przełamanie linii trendu wzrostowego.</w:t>
      </w:r>
    </w:p>
    <w:p w:rsidR="00A41A2A" w:rsidRDefault="00A41A2A" w:rsidP="00A41A2A">
      <w:pPr>
        <w:pStyle w:val="Bezodstpw"/>
        <w:jc w:val="both"/>
      </w:pPr>
    </w:p>
    <w:p w:rsidR="00A41A2A" w:rsidRDefault="00A41A2A" w:rsidP="00A41A2A">
      <w:pPr>
        <w:pStyle w:val="Bezodstpw"/>
        <w:jc w:val="both"/>
      </w:pPr>
      <w:r>
        <w:t xml:space="preserve">Faza 2 – Trend przestaje osiągać nowe szczyty. W trendzie rosnącym po korekcie spadkowej ceny wzrosną ponownie, ale nie przekroczą poprzedniego szczytu lub ledwie go przekroczą i opadną. </w:t>
      </w:r>
    </w:p>
    <w:p w:rsidR="00A41A2A" w:rsidRDefault="00A41A2A" w:rsidP="00A41A2A">
      <w:pPr>
        <w:pStyle w:val="Bezodstpw"/>
        <w:jc w:val="both"/>
      </w:pPr>
    </w:p>
    <w:p w:rsidR="00A41A2A" w:rsidRDefault="00A41A2A" w:rsidP="00A41A2A">
      <w:pPr>
        <w:pStyle w:val="Bezodstpw"/>
        <w:jc w:val="both"/>
      </w:pPr>
      <w:r>
        <w:t xml:space="preserve">Faza 3 – Cena spada poniżej poprzedniego krótkoterminowego dołka. </w:t>
      </w:r>
    </w:p>
    <w:p w:rsidR="00A41A2A" w:rsidRDefault="00A41A2A" w:rsidP="00A41A2A">
      <w:pPr>
        <w:pStyle w:val="Bezodstpw"/>
        <w:jc w:val="both"/>
      </w:pPr>
    </w:p>
    <w:p w:rsidR="00A41A2A" w:rsidRDefault="00A41A2A" w:rsidP="00A41A2A">
      <w:pPr>
        <w:pStyle w:val="Bezodstpw"/>
        <w:jc w:val="both"/>
      </w:pPr>
      <w:r>
        <w:t xml:space="preserve">Victor </w:t>
      </w:r>
      <w:proofErr w:type="spellStart"/>
      <w:r>
        <w:t>Sperandeo</w:t>
      </w:r>
      <w:proofErr w:type="spellEnd"/>
      <w:r>
        <w:t xml:space="preserve"> pisze: ,,to jest proste jak 1-2-3 – trend się zmienił !”</w:t>
      </w:r>
    </w:p>
    <w:p w:rsidR="00A41A2A" w:rsidRDefault="00A41A2A" w:rsidP="00A41A2A">
      <w:pPr>
        <w:pStyle w:val="Bezodstpw"/>
        <w:jc w:val="both"/>
      </w:pPr>
    </w:p>
    <w:p w:rsidR="00A41A2A" w:rsidRDefault="00A41A2A" w:rsidP="00A41A2A">
      <w:pPr>
        <w:pStyle w:val="Bezodstpw"/>
        <w:jc w:val="both"/>
      </w:pPr>
      <w:r w:rsidRPr="000E5DF7">
        <w:rPr>
          <w:b/>
          <w:color w:val="FF0000"/>
        </w:rPr>
        <w:t>Analogicznie</w:t>
      </w:r>
      <w:r>
        <w:t xml:space="preserve"> rzecz bio</w:t>
      </w:r>
      <w:r w:rsidR="000E5DF7">
        <w:t xml:space="preserve">rąc można powiedzieć, że metoda…. z natury rzeczy </w:t>
      </w:r>
    </w:p>
    <w:p w:rsidR="00A41A2A" w:rsidRDefault="00A41A2A" w:rsidP="00A41A2A">
      <w:pPr>
        <w:pStyle w:val="Bezodstpw"/>
        <w:jc w:val="both"/>
      </w:pPr>
    </w:p>
    <w:p w:rsidR="00A41A2A" w:rsidRDefault="00A41A2A" w:rsidP="00A41A2A">
      <w:pPr>
        <w:pStyle w:val="Bezodstpw"/>
        <w:jc w:val="both"/>
      </w:pPr>
      <w:r>
        <w:t xml:space="preserve">ta pozwala rozpoznać np. zmianę trendu </w:t>
      </w:r>
      <w:r w:rsidRPr="00A118E9">
        <w:rPr>
          <w:b/>
          <w:color w:val="000000" w:themeColor="text1"/>
          <w:u w:val="single"/>
        </w:rPr>
        <w:t>ze spadkowego na wzrostowy</w:t>
      </w:r>
      <w:r>
        <w:t xml:space="preserve">. </w:t>
      </w:r>
      <w:r w:rsidR="00A118E9">
        <w:t xml:space="preserve">Także i w tym przypadku można wymienić </w:t>
      </w:r>
      <w:r>
        <w:t>trzy fazy.</w:t>
      </w:r>
    </w:p>
    <w:p w:rsidR="00A41A2A" w:rsidRDefault="00A41A2A" w:rsidP="00A41A2A">
      <w:pPr>
        <w:pStyle w:val="Bezodstpw"/>
        <w:jc w:val="both"/>
      </w:pPr>
    </w:p>
    <w:p w:rsidR="00A41A2A" w:rsidRPr="00B955C6" w:rsidRDefault="00A41A2A" w:rsidP="00A41A2A">
      <w:pPr>
        <w:pStyle w:val="Bezodstpw"/>
        <w:jc w:val="both"/>
        <w:rPr>
          <w:b/>
          <w:u w:val="single"/>
        </w:rPr>
      </w:pPr>
      <w:r w:rsidRPr="00B955C6">
        <w:rPr>
          <w:b/>
          <w:u w:val="single"/>
        </w:rPr>
        <w:t>Faza 1 – Przełamanie linii trendu spadkowego</w:t>
      </w:r>
    </w:p>
    <w:p w:rsidR="00A41A2A" w:rsidRDefault="00A41A2A" w:rsidP="00A41A2A">
      <w:pPr>
        <w:pStyle w:val="Bezodstpw"/>
        <w:jc w:val="both"/>
      </w:pPr>
    </w:p>
    <w:p w:rsidR="00A41A2A" w:rsidRPr="00B955C6" w:rsidRDefault="00A41A2A" w:rsidP="00A41A2A">
      <w:pPr>
        <w:pStyle w:val="Bezodstpw"/>
        <w:jc w:val="both"/>
        <w:rPr>
          <w:b/>
          <w:u w:val="single"/>
        </w:rPr>
      </w:pPr>
      <w:r w:rsidRPr="00B955C6">
        <w:rPr>
          <w:b/>
          <w:u w:val="single"/>
        </w:rPr>
        <w:t xml:space="preserve">Faza 2 – Trend przestaje osiągać nowe dołki. W trendzie spadkowym po korekcie wzrostowej ceny spadają ponownie, ale nie spadną poniżej poprzedniego dołka lub spadną tylko nieco poniżej jego ale później zaczną rosnąć.  </w:t>
      </w:r>
    </w:p>
    <w:p w:rsidR="00A41A2A" w:rsidRDefault="00A41A2A" w:rsidP="00A41A2A">
      <w:pPr>
        <w:pStyle w:val="Bezodstpw"/>
        <w:jc w:val="both"/>
      </w:pPr>
    </w:p>
    <w:p w:rsidR="00A41A2A" w:rsidRPr="00B955C6" w:rsidRDefault="00A41A2A" w:rsidP="00A41A2A">
      <w:pPr>
        <w:pStyle w:val="Bezodstpw"/>
        <w:jc w:val="both"/>
        <w:rPr>
          <w:b/>
          <w:u w:val="single"/>
        </w:rPr>
      </w:pPr>
      <w:r w:rsidRPr="00B955C6">
        <w:rPr>
          <w:b/>
          <w:u w:val="single"/>
        </w:rPr>
        <w:t xml:space="preserve">Faza 3 – Cena rośnie powyżej poprzedniego krótkoterminowego szczytu. </w:t>
      </w:r>
    </w:p>
    <w:p w:rsidR="00A41A2A" w:rsidRDefault="00A41A2A" w:rsidP="00A41A2A">
      <w:pPr>
        <w:pStyle w:val="Bezodstpw"/>
        <w:jc w:val="both"/>
      </w:pPr>
    </w:p>
    <w:p w:rsidR="00A41A2A" w:rsidRDefault="00A41A2A" w:rsidP="00A41A2A">
      <w:pPr>
        <w:pStyle w:val="Bezodstpw"/>
        <w:jc w:val="both"/>
      </w:pPr>
      <w:r>
        <w:t xml:space="preserve">Victor </w:t>
      </w:r>
      <w:proofErr w:type="spellStart"/>
      <w:r>
        <w:t>Sperandeo</w:t>
      </w:r>
      <w:proofErr w:type="spellEnd"/>
      <w:r>
        <w:t xml:space="preserve"> pisze: ,,to jest proste jak 1-2-3 – trend się zmienił !”</w:t>
      </w:r>
    </w:p>
    <w:p w:rsidR="00A41A2A" w:rsidRDefault="00A41A2A" w:rsidP="00A41A2A">
      <w:pPr>
        <w:pStyle w:val="Bezodstpw"/>
        <w:jc w:val="both"/>
      </w:pPr>
    </w:p>
    <w:p w:rsidR="00A41A2A" w:rsidRDefault="00A41A2A" w:rsidP="00A41A2A">
      <w:pPr>
        <w:pStyle w:val="Bezodstpw"/>
        <w:jc w:val="both"/>
      </w:pPr>
      <w:r>
        <w:t>W kontekście możliwej zmiany trendu średnioterminowego z</w:t>
      </w:r>
      <w:r w:rsidR="000E5DF7">
        <w:t>e</w:t>
      </w:r>
      <w:r>
        <w:t xml:space="preserve"> spadkowego na wzrostowy proponuję spojrzeć na wykresu kursu jena japońskiego (w złotych)</w:t>
      </w:r>
    </w:p>
    <w:p w:rsidR="00A41A2A" w:rsidRDefault="00A41A2A" w:rsidP="00A41A2A">
      <w:pPr>
        <w:pStyle w:val="Bezodstpw"/>
        <w:jc w:val="both"/>
      </w:pPr>
    </w:p>
    <w:p w:rsidR="00A41A2A" w:rsidRDefault="00A41A2A" w:rsidP="00A41A2A">
      <w:pPr>
        <w:pStyle w:val="Bezodstpw"/>
        <w:jc w:val="both"/>
      </w:pPr>
    </w:p>
    <w:p w:rsidR="00A41A2A" w:rsidRPr="009110A0" w:rsidRDefault="00A41A2A" w:rsidP="00A41A2A">
      <w:pPr>
        <w:pStyle w:val="Bezodstpw"/>
        <w:jc w:val="both"/>
        <w:rPr>
          <w:b/>
          <w:u w:val="single"/>
        </w:rPr>
      </w:pPr>
      <w:r w:rsidRPr="009110A0">
        <w:rPr>
          <w:b/>
          <w:u w:val="single"/>
        </w:rPr>
        <w:t xml:space="preserve">Faza 1 – Przełamanie linii trendu na </w:t>
      </w:r>
      <w:r>
        <w:rPr>
          <w:b/>
          <w:u w:val="single"/>
        </w:rPr>
        <w:t xml:space="preserve">wykresie kursu jena japońskiego (w </w:t>
      </w:r>
      <w:proofErr w:type="spellStart"/>
      <w:r>
        <w:rPr>
          <w:b/>
          <w:u w:val="single"/>
        </w:rPr>
        <w:t>zlotych</w:t>
      </w:r>
      <w:proofErr w:type="spellEnd"/>
      <w:r>
        <w:rPr>
          <w:b/>
          <w:u w:val="single"/>
        </w:rPr>
        <w:t>)</w:t>
      </w:r>
    </w:p>
    <w:p w:rsidR="00A41A2A" w:rsidRDefault="00A41A2A" w:rsidP="00A41A2A">
      <w:pPr>
        <w:pStyle w:val="Bezodstpw"/>
        <w:jc w:val="both"/>
      </w:pPr>
    </w:p>
    <w:p w:rsidR="00A41A2A" w:rsidRDefault="00A41A2A" w:rsidP="00A41A2A">
      <w:pPr>
        <w:pStyle w:val="Bezodstpw"/>
        <w:jc w:val="both"/>
      </w:pPr>
      <w:r>
        <w:rPr>
          <w:noProof/>
        </w:rPr>
        <w:drawing>
          <wp:inline distT="0" distB="0" distL="0" distR="0">
            <wp:extent cx="6000750" cy="3619500"/>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00750" cy="3619500"/>
                    </a:xfrm>
                    <a:prstGeom prst="rect">
                      <a:avLst/>
                    </a:prstGeom>
                    <a:noFill/>
                  </pic:spPr>
                </pic:pic>
              </a:graphicData>
            </a:graphic>
          </wp:inline>
        </w:drawing>
      </w:r>
    </w:p>
    <w:p w:rsidR="00A41A2A" w:rsidRDefault="00A41A2A" w:rsidP="00A41A2A">
      <w:pPr>
        <w:pStyle w:val="Bezodstpw"/>
        <w:jc w:val="both"/>
        <w:rPr>
          <w:b/>
          <w:u w:val="single"/>
        </w:rPr>
      </w:pPr>
      <w:r w:rsidRPr="009110A0">
        <w:rPr>
          <w:b/>
          <w:u w:val="single"/>
        </w:rPr>
        <w:lastRenderedPageBreak/>
        <w:t xml:space="preserve">Faza 2 – Trend przestaje osiągać nowe </w:t>
      </w:r>
      <w:r>
        <w:rPr>
          <w:b/>
          <w:u w:val="single"/>
        </w:rPr>
        <w:t>dołki</w:t>
      </w:r>
      <w:r w:rsidRPr="009110A0">
        <w:rPr>
          <w:b/>
          <w:u w:val="single"/>
        </w:rPr>
        <w:t xml:space="preserve">. W trendzie </w:t>
      </w:r>
      <w:r>
        <w:rPr>
          <w:b/>
          <w:u w:val="single"/>
        </w:rPr>
        <w:t>spadkowym</w:t>
      </w:r>
      <w:r w:rsidRPr="009110A0">
        <w:rPr>
          <w:b/>
          <w:u w:val="single"/>
        </w:rPr>
        <w:t xml:space="preserve"> po korekcie </w:t>
      </w:r>
      <w:r>
        <w:rPr>
          <w:b/>
          <w:u w:val="single"/>
        </w:rPr>
        <w:t>kurs jena japońskiego (w złotych) zniżkował p</w:t>
      </w:r>
      <w:r w:rsidRPr="009110A0">
        <w:rPr>
          <w:b/>
          <w:u w:val="single"/>
        </w:rPr>
        <w:t>onownie, ale nie</w:t>
      </w:r>
      <w:r>
        <w:rPr>
          <w:b/>
          <w:u w:val="single"/>
        </w:rPr>
        <w:t xml:space="preserve"> spadł poniżej </w:t>
      </w:r>
      <w:r w:rsidR="00B955C6">
        <w:rPr>
          <w:b/>
          <w:u w:val="single"/>
        </w:rPr>
        <w:t xml:space="preserve">poprzedniego </w:t>
      </w:r>
      <w:r>
        <w:rPr>
          <w:b/>
          <w:u w:val="single"/>
        </w:rPr>
        <w:t xml:space="preserve">dołka. </w:t>
      </w:r>
    </w:p>
    <w:p w:rsidR="00A41A2A" w:rsidRDefault="00A41A2A" w:rsidP="00A41A2A">
      <w:pPr>
        <w:pStyle w:val="Bezodstpw"/>
        <w:jc w:val="both"/>
        <w:rPr>
          <w:b/>
          <w:u w:val="single"/>
        </w:rPr>
      </w:pPr>
    </w:p>
    <w:p w:rsidR="00A41A2A" w:rsidRPr="009110A0" w:rsidRDefault="00A41A2A" w:rsidP="00A41A2A">
      <w:pPr>
        <w:pStyle w:val="Bezodstpw"/>
        <w:jc w:val="both"/>
        <w:rPr>
          <w:b/>
          <w:u w:val="single"/>
        </w:rPr>
      </w:pPr>
      <w:r>
        <w:rPr>
          <w:b/>
          <w:noProof/>
          <w:u w:val="single"/>
        </w:rPr>
        <w:drawing>
          <wp:inline distT="0" distB="0" distL="0" distR="0">
            <wp:extent cx="6000750" cy="3619500"/>
            <wp:effectExtent l="1905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000750" cy="3619500"/>
                    </a:xfrm>
                    <a:prstGeom prst="rect">
                      <a:avLst/>
                    </a:prstGeom>
                    <a:noFill/>
                  </pic:spPr>
                </pic:pic>
              </a:graphicData>
            </a:graphic>
          </wp:inline>
        </w:drawing>
      </w:r>
      <w:r>
        <w:rPr>
          <w:b/>
          <w:u w:val="single"/>
        </w:rPr>
        <w:t xml:space="preserve"> </w:t>
      </w:r>
    </w:p>
    <w:p w:rsidR="00A41A2A" w:rsidRDefault="00A41A2A" w:rsidP="00A41A2A">
      <w:pPr>
        <w:pStyle w:val="Bezodstpw"/>
        <w:jc w:val="both"/>
      </w:pPr>
    </w:p>
    <w:p w:rsidR="00A41A2A" w:rsidRDefault="00A41A2A" w:rsidP="00A41A2A">
      <w:pPr>
        <w:pStyle w:val="Bezodstpw"/>
        <w:jc w:val="both"/>
        <w:rPr>
          <w:b/>
          <w:u w:val="single"/>
        </w:rPr>
      </w:pPr>
      <w:r w:rsidRPr="009110A0">
        <w:rPr>
          <w:b/>
          <w:u w:val="single"/>
        </w:rPr>
        <w:t xml:space="preserve">Faza 3 – </w:t>
      </w:r>
      <w:r>
        <w:rPr>
          <w:b/>
          <w:u w:val="single"/>
        </w:rPr>
        <w:t xml:space="preserve">Teraz powstaje pytanie – czy kurs jedna japońskiego </w:t>
      </w:r>
      <w:r w:rsidR="00A118E9">
        <w:rPr>
          <w:b/>
          <w:u w:val="single"/>
        </w:rPr>
        <w:t xml:space="preserve">(w złotych) </w:t>
      </w:r>
      <w:r>
        <w:rPr>
          <w:b/>
          <w:u w:val="single"/>
        </w:rPr>
        <w:t xml:space="preserve">wzrośnie powyżej poprzedniego </w:t>
      </w:r>
      <w:r w:rsidR="00B955C6">
        <w:rPr>
          <w:b/>
          <w:u w:val="single"/>
        </w:rPr>
        <w:t xml:space="preserve">kluczowego </w:t>
      </w:r>
      <w:r>
        <w:rPr>
          <w:b/>
          <w:u w:val="single"/>
        </w:rPr>
        <w:t>szczytu (3,1138) ?</w:t>
      </w:r>
      <w:r w:rsidR="000E5DF7">
        <w:rPr>
          <w:b/>
          <w:u w:val="single"/>
        </w:rPr>
        <w:t>??</w:t>
      </w:r>
    </w:p>
    <w:p w:rsidR="00A41A2A" w:rsidRDefault="00A41A2A" w:rsidP="00A41A2A">
      <w:pPr>
        <w:pStyle w:val="Bezodstpw"/>
        <w:jc w:val="both"/>
        <w:rPr>
          <w:b/>
          <w:u w:val="single"/>
        </w:rPr>
      </w:pPr>
    </w:p>
    <w:p w:rsidR="00A41A2A" w:rsidRPr="009110A0" w:rsidRDefault="00A41A2A" w:rsidP="00A41A2A">
      <w:pPr>
        <w:pStyle w:val="Bezodstpw"/>
        <w:jc w:val="both"/>
        <w:rPr>
          <w:b/>
          <w:u w:val="single"/>
        </w:rPr>
      </w:pPr>
      <w:r>
        <w:rPr>
          <w:b/>
          <w:noProof/>
          <w:u w:val="single"/>
        </w:rPr>
        <w:drawing>
          <wp:inline distT="0" distB="0" distL="0" distR="0">
            <wp:extent cx="6000750" cy="3619500"/>
            <wp:effectExtent l="19050" t="0" r="0" b="0"/>
            <wp:docPr id="1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000750" cy="3619500"/>
                    </a:xfrm>
                    <a:prstGeom prst="rect">
                      <a:avLst/>
                    </a:prstGeom>
                    <a:noFill/>
                  </pic:spPr>
                </pic:pic>
              </a:graphicData>
            </a:graphic>
          </wp:inline>
        </w:drawing>
      </w:r>
      <w:r w:rsidRPr="009110A0">
        <w:rPr>
          <w:b/>
          <w:u w:val="single"/>
        </w:rPr>
        <w:t xml:space="preserve"> </w:t>
      </w:r>
    </w:p>
    <w:p w:rsidR="00A41A2A" w:rsidRDefault="00A41A2A" w:rsidP="00A41A2A">
      <w:pPr>
        <w:pStyle w:val="Bezodstpw"/>
        <w:jc w:val="both"/>
      </w:pPr>
      <w:r>
        <w:lastRenderedPageBreak/>
        <w:t xml:space="preserve">W przypadku wzrostu powyżej wspomnianego szczytu (3,1138) doszło by do wybicia z podwójnego dna </w:t>
      </w:r>
    </w:p>
    <w:p w:rsidR="00A41A2A" w:rsidRDefault="00A41A2A" w:rsidP="00A41A2A">
      <w:pPr>
        <w:pStyle w:val="Bezodstpw"/>
        <w:jc w:val="both"/>
      </w:pPr>
    </w:p>
    <w:p w:rsidR="00A41A2A" w:rsidRDefault="00A41A2A" w:rsidP="00A41A2A">
      <w:pPr>
        <w:pStyle w:val="Bezodstpw"/>
        <w:jc w:val="both"/>
      </w:pPr>
      <w:r>
        <w:rPr>
          <w:noProof/>
        </w:rPr>
        <w:drawing>
          <wp:inline distT="0" distB="0" distL="0" distR="0">
            <wp:extent cx="6000750" cy="3619500"/>
            <wp:effectExtent l="19050" t="0" r="0" b="0"/>
            <wp:docPr id="1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000750" cy="3619500"/>
                    </a:xfrm>
                    <a:prstGeom prst="rect">
                      <a:avLst/>
                    </a:prstGeom>
                    <a:noFill/>
                  </pic:spPr>
                </pic:pic>
              </a:graphicData>
            </a:graphic>
          </wp:inline>
        </w:drawing>
      </w:r>
    </w:p>
    <w:p w:rsidR="00A41A2A" w:rsidRDefault="00A41A2A" w:rsidP="00A41A2A">
      <w:pPr>
        <w:pStyle w:val="Bezodstpw"/>
        <w:jc w:val="both"/>
      </w:pPr>
    </w:p>
    <w:p w:rsidR="00A41A2A" w:rsidRDefault="00A41A2A" w:rsidP="00A41A2A">
      <w:pPr>
        <w:pStyle w:val="Bezodstpw"/>
        <w:jc w:val="both"/>
      </w:pPr>
    </w:p>
    <w:p w:rsidR="00A41A2A" w:rsidRDefault="00A41A2A" w:rsidP="00A41A2A">
      <w:pPr>
        <w:pStyle w:val="Bezodstpw"/>
        <w:jc w:val="both"/>
      </w:pPr>
      <w:r>
        <w:t xml:space="preserve">Czy powyższe rozumowanie ma znaczenie tylko dla samego wykresu kursu jena japońskiego (w złotych) ? moim zdaniem nie. Sądzę bowiem, że </w:t>
      </w:r>
      <w:r w:rsidRPr="00B955C6">
        <w:rPr>
          <w:b/>
          <w:u w:val="single"/>
        </w:rPr>
        <w:t>wzrost kursu jena japońskiego (w złotych) powyżej poziomu 3,1138 był</w:t>
      </w:r>
      <w:r w:rsidR="00A118E9">
        <w:rPr>
          <w:b/>
          <w:u w:val="single"/>
        </w:rPr>
        <w:t>b</w:t>
      </w:r>
      <w:r w:rsidRPr="00B955C6">
        <w:rPr>
          <w:b/>
          <w:u w:val="single"/>
        </w:rPr>
        <w:t>y nie tylko</w:t>
      </w:r>
      <w:r>
        <w:t xml:space="preserve"> zapowiedzią dalszych wzrostów jena japońskiego (w złotych) lecz także dalszych wzrostów innych kluczowych walut zagranicznych (w złotych) – czyli na przykład euro (w złotych) oraz dolara amerykańskiego (w złotych). </w:t>
      </w:r>
    </w:p>
    <w:p w:rsidR="00A41A2A" w:rsidRDefault="00A41A2A" w:rsidP="00A41A2A">
      <w:pPr>
        <w:pStyle w:val="Bezodstpw"/>
        <w:jc w:val="both"/>
      </w:pPr>
    </w:p>
    <w:p w:rsidR="00A41A2A" w:rsidRDefault="00A41A2A" w:rsidP="00A41A2A">
      <w:pPr>
        <w:pStyle w:val="Bezodstpw"/>
        <w:jc w:val="both"/>
      </w:pPr>
      <w:r>
        <w:t xml:space="preserve">Scenariusz ten byłby zbieżny z przedstawionym na str. 3 scenariuszem wzrostów indeksu walutowego Polish Basket Zloty. </w:t>
      </w:r>
    </w:p>
    <w:p w:rsidR="00A41A2A" w:rsidRDefault="00A41A2A" w:rsidP="00A41A2A">
      <w:pPr>
        <w:pStyle w:val="Bezodstpw"/>
        <w:jc w:val="both"/>
      </w:pPr>
    </w:p>
    <w:p w:rsidR="00D30787" w:rsidRDefault="00D30787" w:rsidP="00D30787">
      <w:pPr>
        <w:pStyle w:val="Bezodstpw"/>
        <w:pBdr>
          <w:top w:val="single" w:sz="4" w:space="1" w:color="auto"/>
          <w:left w:val="single" w:sz="4" w:space="4" w:color="auto"/>
          <w:bottom w:val="single" w:sz="4" w:space="1" w:color="auto"/>
          <w:right w:val="single" w:sz="4" w:space="4" w:color="auto"/>
        </w:pBdr>
        <w:jc w:val="center"/>
        <w:rPr>
          <w:noProof/>
        </w:rPr>
      </w:pPr>
      <w:r>
        <w:rPr>
          <w:noProof/>
        </w:rPr>
        <w:t>Sytuacja na polskim rynku akcji – perspktywa krótkoterminowa</w:t>
      </w:r>
    </w:p>
    <w:p w:rsidR="00D30787" w:rsidRDefault="00D30787" w:rsidP="00C80FA8">
      <w:pPr>
        <w:pStyle w:val="Bezodstpw"/>
        <w:jc w:val="both"/>
        <w:rPr>
          <w:noProof/>
        </w:rPr>
      </w:pPr>
    </w:p>
    <w:p w:rsidR="00D30787" w:rsidRDefault="00D30787" w:rsidP="00D30787">
      <w:pPr>
        <w:pStyle w:val="Bezodstpw"/>
        <w:jc w:val="both"/>
        <w:rPr>
          <w:noProof/>
        </w:rPr>
      </w:pPr>
      <w:r>
        <w:rPr>
          <w:noProof/>
        </w:rPr>
        <w:t>W dotychczasowej historii GPW w Warszawie zawsze było tak, że w okresie od początku sierpnia do końca października tego samego roku pojawiała się przynajmniej fala spadkowa która prowadziła do spadku indeksu WIG 20 od następującego najpierw maksimum do pojawiającego się później minimum o 5,0 %. Taka stosunkowo nieznaczna skala spadków (o 5,0 %) miała miejsce w 2004 roku oraz w 2012 roku.</w:t>
      </w:r>
    </w:p>
    <w:p w:rsidR="00D30787" w:rsidRDefault="00D30787" w:rsidP="00D30787">
      <w:pPr>
        <w:pStyle w:val="Bezodstpw"/>
        <w:jc w:val="both"/>
        <w:rPr>
          <w:noProof/>
        </w:rPr>
      </w:pPr>
    </w:p>
    <w:p w:rsidR="00D30787" w:rsidRDefault="00D30787" w:rsidP="00D30787">
      <w:pPr>
        <w:pStyle w:val="Bezodstpw"/>
        <w:jc w:val="both"/>
        <w:rPr>
          <w:noProof/>
        </w:rPr>
      </w:pPr>
      <w:r>
        <w:rPr>
          <w:noProof/>
        </w:rPr>
        <w:t>W artykule z 9 września wskazywałem, że ,,gdyby założyć, że lokalne maksimum zostało się osiągnięte 8 września, kiedy to WIG 20 ukształtował się na poziomie 2 551,47 pkt. to można przewidywać, że czekają nas spadki do poziomu 2424,26 pkt. lub (co jest wielce prawdopodobne) nawet do poziomu niższego. Dopiero później rozpoczęłaby się ta długoterminowa przewidywana w ,,Raporcie Tygodniowym” silna hossa w przypadku indeksu WIG20”.</w:t>
      </w:r>
    </w:p>
    <w:p w:rsidR="00D30787" w:rsidRDefault="00D30787" w:rsidP="00C80FA8">
      <w:pPr>
        <w:pStyle w:val="Bezodstpw"/>
        <w:jc w:val="both"/>
        <w:rPr>
          <w:noProof/>
        </w:rPr>
      </w:pPr>
    </w:p>
    <w:p w:rsidR="00A118E9" w:rsidRDefault="00D30787" w:rsidP="00C80FA8">
      <w:pPr>
        <w:pStyle w:val="Bezodstpw"/>
        <w:jc w:val="both"/>
      </w:pPr>
      <w:r>
        <w:lastRenderedPageBreak/>
        <w:t>Ten powyższy scenariusz spadkowy został zrealizowany przynajmniej w tym sensie, że WIG 20 spadł do 2</w:t>
      </w:r>
      <w:r w:rsidR="00A118E9">
        <w:t xml:space="preserve"> </w:t>
      </w:r>
      <w:r>
        <w:t>424,26 pkt. a potem jeszcze spadł niżej. Czy przed rozpoczęciem długoterminowej hossy w przypadku WIG 20 będziemy jeszcze świadkami niewielkich spadków indeksu WIG 20 ?</w:t>
      </w:r>
      <w:r w:rsidR="00A118E9">
        <w:t xml:space="preserve"> </w:t>
      </w:r>
    </w:p>
    <w:p w:rsidR="00A118E9" w:rsidRDefault="00A118E9" w:rsidP="00C80FA8">
      <w:pPr>
        <w:pStyle w:val="Bezodstpw"/>
        <w:jc w:val="both"/>
      </w:pPr>
    </w:p>
    <w:p w:rsidR="00D30787" w:rsidRPr="00AE2566" w:rsidRDefault="00D30787" w:rsidP="00C80FA8">
      <w:pPr>
        <w:pStyle w:val="Bezodstpw"/>
        <w:jc w:val="both"/>
        <w:rPr>
          <w:b/>
        </w:rPr>
      </w:pPr>
      <w:r>
        <w:t xml:space="preserve">Nie jest to wykluczone zważywszy na fakt, że na przykład na wykresie indeksu </w:t>
      </w:r>
      <w:r w:rsidRPr="000E5DF7">
        <w:rPr>
          <w:b/>
          <w:u w:val="single"/>
        </w:rPr>
        <w:t xml:space="preserve">ogólnoświatowego MSCI </w:t>
      </w:r>
      <w:proofErr w:type="spellStart"/>
      <w:r w:rsidRPr="000E5DF7">
        <w:rPr>
          <w:b/>
          <w:u w:val="single"/>
        </w:rPr>
        <w:t>World</w:t>
      </w:r>
      <w:proofErr w:type="spellEnd"/>
      <w:r w:rsidRPr="000E5DF7">
        <w:rPr>
          <w:b/>
          <w:u w:val="single"/>
        </w:rPr>
        <w:t xml:space="preserve"> </w:t>
      </w:r>
      <w:proofErr w:type="spellStart"/>
      <w:r w:rsidRPr="000E5DF7">
        <w:rPr>
          <w:b/>
          <w:u w:val="single"/>
        </w:rPr>
        <w:t>Index</w:t>
      </w:r>
      <w:proofErr w:type="spellEnd"/>
      <w:r>
        <w:t xml:space="preserve"> ni</w:t>
      </w:r>
      <w:r w:rsidR="00A118E9">
        <w:t xml:space="preserve">e wypełniła się jeszcze w pełni </w:t>
      </w:r>
      <w:r>
        <w:t>krótkoterminowa formacja podwójnego</w:t>
      </w:r>
      <w:r w:rsidR="00AE2566">
        <w:t xml:space="preserve"> szczyt</w:t>
      </w:r>
      <w:r w:rsidR="00A118E9">
        <w:t>u</w:t>
      </w:r>
      <w:r w:rsidR="00AE2566">
        <w:t xml:space="preserve">. Jej wypełnienie oznaczałoby </w:t>
      </w:r>
      <w:r w:rsidR="00AE2566" w:rsidRPr="00AE2566">
        <w:rPr>
          <w:b/>
          <w:color w:val="FF0000"/>
        </w:rPr>
        <w:t>spadek o 0,5 %.</w:t>
      </w:r>
      <w:r w:rsidR="00AE2566" w:rsidRPr="00AE2566">
        <w:rPr>
          <w:b/>
        </w:rPr>
        <w:t xml:space="preserve"> </w:t>
      </w:r>
    </w:p>
    <w:p w:rsidR="00AE2566" w:rsidRDefault="00AE2566" w:rsidP="00C80FA8">
      <w:pPr>
        <w:pStyle w:val="Bezodstpw"/>
        <w:jc w:val="both"/>
      </w:pPr>
    </w:p>
    <w:p w:rsidR="00AE2566" w:rsidRDefault="00AE2566" w:rsidP="00C80FA8">
      <w:pPr>
        <w:pStyle w:val="Bezodstpw"/>
        <w:jc w:val="both"/>
      </w:pPr>
      <w:r>
        <w:rPr>
          <w:noProof/>
        </w:rPr>
        <w:drawing>
          <wp:inline distT="0" distB="0" distL="0" distR="0">
            <wp:extent cx="4800600" cy="289560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00600" cy="2895600"/>
                    </a:xfrm>
                    <a:prstGeom prst="rect">
                      <a:avLst/>
                    </a:prstGeom>
                    <a:noFill/>
                  </pic:spPr>
                </pic:pic>
              </a:graphicData>
            </a:graphic>
          </wp:inline>
        </w:drawing>
      </w:r>
    </w:p>
    <w:p w:rsidR="00D30787" w:rsidRDefault="00D30787" w:rsidP="00C80FA8">
      <w:pPr>
        <w:pStyle w:val="Bezodstpw"/>
        <w:jc w:val="both"/>
      </w:pPr>
    </w:p>
    <w:p w:rsidR="00D30787" w:rsidRDefault="00AE2566" w:rsidP="00C80FA8">
      <w:pPr>
        <w:pStyle w:val="Bezodstpw"/>
        <w:jc w:val="both"/>
      </w:pPr>
      <w:r>
        <w:t>Do wybicia z krótkoterminowej formacji podwójnego szczytu doszło również w przypadku amerykańskiego indeksu S</w:t>
      </w:r>
      <w:r w:rsidR="00A118E9">
        <w:t>&amp;</w:t>
      </w:r>
      <w:r>
        <w:t xml:space="preserve">P500, niemieckiego indeksu DAX, francuskiego indeksu CAC oraz </w:t>
      </w:r>
      <w:r w:rsidR="00A118E9">
        <w:t>angielskiego</w:t>
      </w:r>
      <w:r>
        <w:t xml:space="preserve"> indeksu </w:t>
      </w:r>
      <w:proofErr w:type="spellStart"/>
      <w:r>
        <w:t>FT</w:t>
      </w:r>
      <w:r w:rsidR="00A118E9">
        <w:t>-</w:t>
      </w:r>
      <w:r>
        <w:t>SE</w:t>
      </w:r>
      <w:proofErr w:type="spellEnd"/>
      <w:r>
        <w:t xml:space="preserve"> </w:t>
      </w:r>
      <w:r w:rsidR="00A118E9">
        <w:t>100</w:t>
      </w:r>
      <w:r>
        <w:t>.</w:t>
      </w:r>
    </w:p>
    <w:p w:rsidR="00D30787" w:rsidRDefault="00D30787" w:rsidP="00C80FA8">
      <w:pPr>
        <w:pStyle w:val="Bezodstpw"/>
        <w:jc w:val="both"/>
      </w:pPr>
    </w:p>
    <w:p w:rsidR="00AE2566" w:rsidRDefault="00AE2566" w:rsidP="00C80FA8">
      <w:pPr>
        <w:pStyle w:val="Bezodstpw"/>
        <w:jc w:val="both"/>
        <w:rPr>
          <w:b/>
          <w:u w:val="single"/>
        </w:rPr>
      </w:pPr>
      <w:r>
        <w:rPr>
          <w:b/>
          <w:u w:val="single"/>
        </w:rPr>
        <w:t>Indeks CAC</w:t>
      </w:r>
    </w:p>
    <w:p w:rsidR="00AE2566" w:rsidRDefault="00AE2566" w:rsidP="00C80FA8">
      <w:pPr>
        <w:pStyle w:val="Bezodstpw"/>
        <w:jc w:val="both"/>
        <w:rPr>
          <w:b/>
          <w:u w:val="single"/>
        </w:rPr>
      </w:pPr>
    </w:p>
    <w:p w:rsidR="00AE2566" w:rsidRPr="003E6062" w:rsidRDefault="00AE2566" w:rsidP="00C80FA8">
      <w:pPr>
        <w:pStyle w:val="Bezodstpw"/>
        <w:jc w:val="both"/>
        <w:rPr>
          <w:b/>
          <w:color w:val="FF0000"/>
        </w:rPr>
      </w:pPr>
      <w:r>
        <w:t xml:space="preserve">Gdyby wypełniła się formacja krótkoterminowego podwójnego szczytu na wykresie indeksu CAC oznaczałoby to </w:t>
      </w:r>
      <w:r w:rsidR="003E6062">
        <w:t xml:space="preserve">spadek tego indeksu </w:t>
      </w:r>
      <w:r w:rsidR="003E6062" w:rsidRPr="003E6062">
        <w:rPr>
          <w:b/>
          <w:color w:val="FF0000"/>
        </w:rPr>
        <w:t xml:space="preserve">o 6,0 %. </w:t>
      </w:r>
    </w:p>
    <w:p w:rsidR="003E6062" w:rsidRDefault="003E6062" w:rsidP="00C80FA8">
      <w:pPr>
        <w:pStyle w:val="Bezodstpw"/>
        <w:jc w:val="both"/>
        <w:rPr>
          <w:b/>
          <w:u w:val="single"/>
        </w:rPr>
      </w:pPr>
    </w:p>
    <w:p w:rsidR="00AE2566" w:rsidRDefault="00AE2566" w:rsidP="00C80FA8">
      <w:pPr>
        <w:pStyle w:val="Bezodstpw"/>
        <w:jc w:val="both"/>
      </w:pPr>
      <w:r>
        <w:rPr>
          <w:noProof/>
        </w:rPr>
        <w:drawing>
          <wp:inline distT="0" distB="0" distL="0" distR="0">
            <wp:extent cx="4800600" cy="2895600"/>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800600" cy="2895600"/>
                    </a:xfrm>
                    <a:prstGeom prst="rect">
                      <a:avLst/>
                    </a:prstGeom>
                    <a:noFill/>
                  </pic:spPr>
                </pic:pic>
              </a:graphicData>
            </a:graphic>
          </wp:inline>
        </w:drawing>
      </w:r>
    </w:p>
    <w:p w:rsidR="00604176" w:rsidRDefault="00604176" w:rsidP="00604176">
      <w:pPr>
        <w:pStyle w:val="Bezodstpw"/>
        <w:jc w:val="both"/>
        <w:rPr>
          <w:b/>
          <w:u w:val="single"/>
        </w:rPr>
      </w:pPr>
      <w:r>
        <w:rPr>
          <w:b/>
          <w:u w:val="single"/>
        </w:rPr>
        <w:lastRenderedPageBreak/>
        <w:t xml:space="preserve">Indeks </w:t>
      </w:r>
      <w:proofErr w:type="spellStart"/>
      <w:r>
        <w:rPr>
          <w:b/>
          <w:u w:val="single"/>
        </w:rPr>
        <w:t>S&amp;P</w:t>
      </w:r>
      <w:proofErr w:type="spellEnd"/>
      <w:r>
        <w:rPr>
          <w:b/>
          <w:u w:val="single"/>
        </w:rPr>
        <w:t xml:space="preserve"> 500 </w:t>
      </w:r>
    </w:p>
    <w:p w:rsidR="00604176" w:rsidRDefault="00604176" w:rsidP="00604176">
      <w:pPr>
        <w:pStyle w:val="Bezodstpw"/>
        <w:jc w:val="both"/>
        <w:rPr>
          <w:b/>
          <w:u w:val="single"/>
        </w:rPr>
      </w:pPr>
    </w:p>
    <w:p w:rsidR="00604176" w:rsidRPr="003E6062" w:rsidRDefault="00604176" w:rsidP="00604176">
      <w:pPr>
        <w:pStyle w:val="Bezodstpw"/>
        <w:jc w:val="both"/>
        <w:rPr>
          <w:b/>
          <w:color w:val="FF0000"/>
        </w:rPr>
      </w:pPr>
      <w:r>
        <w:t xml:space="preserve">Gdyby wypełniła się formacja krótkoterminowego podwójnego szczytu na wykresie indeksu </w:t>
      </w:r>
      <w:proofErr w:type="spellStart"/>
      <w:r w:rsidR="00D20851">
        <w:t>S&amp;P</w:t>
      </w:r>
      <w:proofErr w:type="spellEnd"/>
      <w:r w:rsidR="00D20851">
        <w:t xml:space="preserve"> 500 </w:t>
      </w:r>
      <w:r>
        <w:t xml:space="preserve">oznaczałoby to spadek tego indeksu </w:t>
      </w:r>
      <w:r w:rsidRPr="003E6062">
        <w:rPr>
          <w:b/>
          <w:color w:val="FF0000"/>
        </w:rPr>
        <w:t xml:space="preserve">o </w:t>
      </w:r>
      <w:r w:rsidR="00002852">
        <w:rPr>
          <w:b/>
          <w:color w:val="FF0000"/>
        </w:rPr>
        <w:t>3</w:t>
      </w:r>
      <w:r w:rsidRPr="003E6062">
        <w:rPr>
          <w:b/>
          <w:color w:val="FF0000"/>
        </w:rPr>
        <w:t>,</w:t>
      </w:r>
      <w:r>
        <w:rPr>
          <w:b/>
          <w:color w:val="FF0000"/>
        </w:rPr>
        <w:t>8</w:t>
      </w:r>
      <w:r w:rsidRPr="003E6062">
        <w:rPr>
          <w:b/>
          <w:color w:val="FF0000"/>
        </w:rPr>
        <w:t xml:space="preserve"> %. </w:t>
      </w:r>
    </w:p>
    <w:p w:rsidR="00604176" w:rsidRDefault="00604176" w:rsidP="00604176">
      <w:pPr>
        <w:pStyle w:val="Bezodstpw"/>
        <w:jc w:val="both"/>
      </w:pPr>
    </w:p>
    <w:p w:rsidR="00604176" w:rsidRDefault="00D20851" w:rsidP="00604176">
      <w:pPr>
        <w:pStyle w:val="Bezodstpw"/>
        <w:jc w:val="both"/>
      </w:pPr>
      <w:r>
        <w:rPr>
          <w:noProof/>
        </w:rPr>
        <w:drawing>
          <wp:inline distT="0" distB="0" distL="0" distR="0">
            <wp:extent cx="4800600" cy="2895600"/>
            <wp:effectExtent l="1905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800600" cy="2895600"/>
                    </a:xfrm>
                    <a:prstGeom prst="rect">
                      <a:avLst/>
                    </a:prstGeom>
                    <a:noFill/>
                  </pic:spPr>
                </pic:pic>
              </a:graphicData>
            </a:graphic>
          </wp:inline>
        </w:drawing>
      </w:r>
    </w:p>
    <w:p w:rsidR="00604176" w:rsidRDefault="00604176" w:rsidP="00604176">
      <w:pPr>
        <w:pStyle w:val="Bezodstpw"/>
        <w:jc w:val="both"/>
        <w:rPr>
          <w:noProof/>
        </w:rPr>
      </w:pPr>
    </w:p>
    <w:p w:rsidR="00604176" w:rsidRPr="00DE1A5D" w:rsidRDefault="00604176" w:rsidP="00604176">
      <w:pPr>
        <w:pStyle w:val="Bezodstpw"/>
        <w:jc w:val="both"/>
        <w:rPr>
          <w:b/>
          <w:u w:val="single"/>
        </w:rPr>
      </w:pPr>
      <w:r>
        <w:rPr>
          <w:b/>
          <w:u w:val="single"/>
        </w:rPr>
        <w:t>Indeks RUSSEL 2000</w:t>
      </w:r>
    </w:p>
    <w:p w:rsidR="00604176" w:rsidRDefault="00604176" w:rsidP="00604176">
      <w:pPr>
        <w:pStyle w:val="Bezodstpw"/>
        <w:jc w:val="both"/>
        <w:rPr>
          <w:b/>
          <w:u w:val="single"/>
        </w:rPr>
      </w:pPr>
    </w:p>
    <w:p w:rsidR="00604176" w:rsidRDefault="00604176" w:rsidP="00604176">
      <w:pPr>
        <w:pStyle w:val="Bezodstpw"/>
        <w:jc w:val="both"/>
        <w:rPr>
          <w:b/>
          <w:color w:val="FF0000"/>
        </w:rPr>
      </w:pPr>
      <w:r>
        <w:t xml:space="preserve">Gdyby wypełniła się formacja krótkoterminowego podwójnego szczytu na wykresie indeksu </w:t>
      </w:r>
      <w:r w:rsidR="00A118E9">
        <w:t xml:space="preserve">małych amerykańskich spółek </w:t>
      </w:r>
      <w:r w:rsidR="00D20851">
        <w:t>R</w:t>
      </w:r>
      <w:r w:rsidR="00A118E9">
        <w:t>ussel</w:t>
      </w:r>
      <w:r w:rsidR="00D20851">
        <w:t xml:space="preserve"> 2000</w:t>
      </w:r>
      <w:r>
        <w:t xml:space="preserve"> oznaczałoby to spadek tego indeksu </w:t>
      </w:r>
      <w:r w:rsidRPr="003E6062">
        <w:rPr>
          <w:b/>
          <w:color w:val="FF0000"/>
        </w:rPr>
        <w:t xml:space="preserve">o </w:t>
      </w:r>
      <w:r w:rsidR="00D20851">
        <w:rPr>
          <w:b/>
          <w:color w:val="FF0000"/>
        </w:rPr>
        <w:t>5</w:t>
      </w:r>
      <w:r>
        <w:rPr>
          <w:b/>
          <w:color w:val="FF0000"/>
        </w:rPr>
        <w:t>,</w:t>
      </w:r>
      <w:r w:rsidR="00D20851">
        <w:rPr>
          <w:b/>
          <w:color w:val="FF0000"/>
        </w:rPr>
        <w:t>6</w:t>
      </w:r>
      <w:r>
        <w:rPr>
          <w:b/>
          <w:color w:val="FF0000"/>
        </w:rPr>
        <w:t xml:space="preserve"> %. </w:t>
      </w:r>
    </w:p>
    <w:p w:rsidR="00604176" w:rsidRDefault="00604176" w:rsidP="00604176">
      <w:pPr>
        <w:pStyle w:val="Bezodstpw"/>
        <w:jc w:val="both"/>
        <w:rPr>
          <w:b/>
          <w:color w:val="FF0000"/>
        </w:rPr>
      </w:pPr>
    </w:p>
    <w:p w:rsidR="00604176" w:rsidRDefault="00604176" w:rsidP="00604176">
      <w:pPr>
        <w:pStyle w:val="Bezodstpw"/>
        <w:jc w:val="both"/>
        <w:rPr>
          <w:b/>
          <w:color w:val="FF0000"/>
        </w:rPr>
      </w:pPr>
    </w:p>
    <w:p w:rsidR="00604176" w:rsidRDefault="00D20851" w:rsidP="003E6062">
      <w:pPr>
        <w:pStyle w:val="Bezodstpw"/>
        <w:jc w:val="both"/>
        <w:rPr>
          <w:b/>
          <w:u w:val="single"/>
        </w:rPr>
      </w:pPr>
      <w:r>
        <w:rPr>
          <w:b/>
          <w:noProof/>
          <w:u w:val="single"/>
        </w:rPr>
        <w:drawing>
          <wp:inline distT="0" distB="0" distL="0" distR="0">
            <wp:extent cx="4800600" cy="2895600"/>
            <wp:effectExtent l="19050" t="0" r="0"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800600" cy="2895600"/>
                    </a:xfrm>
                    <a:prstGeom prst="rect">
                      <a:avLst/>
                    </a:prstGeom>
                    <a:noFill/>
                  </pic:spPr>
                </pic:pic>
              </a:graphicData>
            </a:graphic>
          </wp:inline>
        </w:drawing>
      </w:r>
    </w:p>
    <w:p w:rsidR="00604176" w:rsidRDefault="00604176" w:rsidP="003E6062">
      <w:pPr>
        <w:pStyle w:val="Bezodstpw"/>
        <w:jc w:val="both"/>
        <w:rPr>
          <w:b/>
          <w:u w:val="single"/>
        </w:rPr>
      </w:pPr>
    </w:p>
    <w:p w:rsidR="00D20851" w:rsidRPr="00D20851" w:rsidRDefault="00D20851" w:rsidP="003E6062">
      <w:pPr>
        <w:pStyle w:val="Bezodstpw"/>
        <w:jc w:val="both"/>
      </w:pPr>
      <w:r w:rsidRPr="00A519DD">
        <w:rPr>
          <w:b/>
        </w:rPr>
        <w:t xml:space="preserve">Szczególnie </w:t>
      </w:r>
      <w:r w:rsidR="00A519DD">
        <w:rPr>
          <w:b/>
        </w:rPr>
        <w:t xml:space="preserve">(!) </w:t>
      </w:r>
      <w:r w:rsidRPr="00D20851">
        <w:t xml:space="preserve">warto zwrócić uwagę na </w:t>
      </w:r>
      <w:r w:rsidR="00A118E9">
        <w:t xml:space="preserve">właśnie </w:t>
      </w:r>
      <w:r>
        <w:t xml:space="preserve">ten indeks – indeks Russel 2000 (indeks małych </w:t>
      </w:r>
      <w:r w:rsidR="005A5DB7">
        <w:t xml:space="preserve">amerykańskich) spółek po pierwszy wybił się z prawie </w:t>
      </w:r>
      <w:r w:rsidR="005A5DB7" w:rsidRPr="00A118E9">
        <w:rPr>
          <w:b/>
        </w:rPr>
        <w:t>idealnej</w:t>
      </w:r>
      <w:r w:rsidR="005A5DB7">
        <w:t xml:space="preserve"> formacji podwójnego szczytu (oba szczyty S1 oraz S2 znajdują się </w:t>
      </w:r>
      <w:r w:rsidR="005A5DB7" w:rsidRPr="00A118E9">
        <w:rPr>
          <w:b/>
        </w:rPr>
        <w:t>prawie dokładnie</w:t>
      </w:r>
      <w:r w:rsidR="005A5DB7">
        <w:t xml:space="preserve"> na tym samy</w:t>
      </w:r>
      <w:r w:rsidR="00A118E9">
        <w:t>m</w:t>
      </w:r>
      <w:r w:rsidR="005A5DB7">
        <w:t xml:space="preserve"> poziomie)</w:t>
      </w:r>
    </w:p>
    <w:p w:rsidR="00604176" w:rsidRDefault="00604176" w:rsidP="003E6062">
      <w:pPr>
        <w:pStyle w:val="Bezodstpw"/>
        <w:jc w:val="both"/>
        <w:rPr>
          <w:b/>
          <w:u w:val="single"/>
        </w:rPr>
      </w:pPr>
    </w:p>
    <w:p w:rsidR="003E6062" w:rsidRDefault="003E6062" w:rsidP="003E6062">
      <w:pPr>
        <w:pStyle w:val="Bezodstpw"/>
        <w:jc w:val="both"/>
        <w:rPr>
          <w:b/>
          <w:u w:val="single"/>
        </w:rPr>
      </w:pPr>
      <w:r>
        <w:rPr>
          <w:b/>
          <w:u w:val="single"/>
        </w:rPr>
        <w:lastRenderedPageBreak/>
        <w:t>Indeks DAX</w:t>
      </w:r>
    </w:p>
    <w:p w:rsidR="003E6062" w:rsidRDefault="003E6062" w:rsidP="003E6062">
      <w:pPr>
        <w:pStyle w:val="Bezodstpw"/>
        <w:jc w:val="both"/>
        <w:rPr>
          <w:b/>
          <w:u w:val="single"/>
        </w:rPr>
      </w:pPr>
    </w:p>
    <w:p w:rsidR="003E6062" w:rsidRPr="003E6062" w:rsidRDefault="003E6062" w:rsidP="003E6062">
      <w:pPr>
        <w:pStyle w:val="Bezodstpw"/>
        <w:jc w:val="both"/>
        <w:rPr>
          <w:b/>
          <w:color w:val="FF0000"/>
        </w:rPr>
      </w:pPr>
      <w:r>
        <w:t xml:space="preserve">Gdyby wypełniła się formacja krótkoterminowego podwójnego szczytu na wykresie indeksu DAX oznaczałoby to spadek tego indeksu </w:t>
      </w:r>
      <w:r w:rsidRPr="003E6062">
        <w:rPr>
          <w:b/>
          <w:color w:val="FF0000"/>
        </w:rPr>
        <w:t xml:space="preserve">o </w:t>
      </w:r>
      <w:r>
        <w:rPr>
          <w:b/>
          <w:color w:val="FF0000"/>
        </w:rPr>
        <w:t>5</w:t>
      </w:r>
      <w:r w:rsidRPr="003E6062">
        <w:rPr>
          <w:b/>
          <w:color w:val="FF0000"/>
        </w:rPr>
        <w:t>,</w:t>
      </w:r>
      <w:r w:rsidR="00D20851">
        <w:rPr>
          <w:b/>
          <w:color w:val="FF0000"/>
        </w:rPr>
        <w:t>6</w:t>
      </w:r>
      <w:r w:rsidRPr="003E6062">
        <w:rPr>
          <w:b/>
          <w:color w:val="FF0000"/>
        </w:rPr>
        <w:t xml:space="preserve"> %. </w:t>
      </w:r>
    </w:p>
    <w:p w:rsidR="003E6062" w:rsidRDefault="003E6062" w:rsidP="00C80FA8">
      <w:pPr>
        <w:pStyle w:val="Bezodstpw"/>
        <w:jc w:val="both"/>
      </w:pPr>
    </w:p>
    <w:p w:rsidR="00945930" w:rsidRDefault="00945930" w:rsidP="00C80FA8">
      <w:pPr>
        <w:pStyle w:val="Bezodstpw"/>
        <w:jc w:val="both"/>
      </w:pPr>
      <w:r w:rsidRPr="00945930">
        <w:rPr>
          <w:noProof/>
        </w:rPr>
        <w:drawing>
          <wp:inline distT="0" distB="0" distL="0" distR="0">
            <wp:extent cx="4800600" cy="2895600"/>
            <wp:effectExtent l="1905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800600" cy="2895600"/>
                    </a:xfrm>
                    <a:prstGeom prst="rect">
                      <a:avLst/>
                    </a:prstGeom>
                    <a:noFill/>
                  </pic:spPr>
                </pic:pic>
              </a:graphicData>
            </a:graphic>
          </wp:inline>
        </w:drawing>
      </w:r>
    </w:p>
    <w:p w:rsidR="00945930" w:rsidRDefault="00945930" w:rsidP="00C80FA8">
      <w:pPr>
        <w:pStyle w:val="Bezodstpw"/>
        <w:jc w:val="both"/>
        <w:rPr>
          <w:noProof/>
        </w:rPr>
      </w:pPr>
    </w:p>
    <w:p w:rsidR="00945930" w:rsidRDefault="00945930" w:rsidP="00C80FA8">
      <w:pPr>
        <w:pStyle w:val="Bezodstpw"/>
        <w:jc w:val="both"/>
        <w:rPr>
          <w:noProof/>
        </w:rPr>
      </w:pPr>
    </w:p>
    <w:p w:rsidR="00945930" w:rsidRPr="00DE1A5D" w:rsidRDefault="00945930" w:rsidP="00945930">
      <w:pPr>
        <w:pStyle w:val="Bezodstpw"/>
        <w:jc w:val="both"/>
        <w:rPr>
          <w:b/>
          <w:u w:val="single"/>
        </w:rPr>
      </w:pPr>
      <w:r w:rsidRPr="00DE1A5D">
        <w:rPr>
          <w:b/>
          <w:u w:val="single"/>
        </w:rPr>
        <w:t xml:space="preserve">Indeks </w:t>
      </w:r>
      <w:proofErr w:type="spellStart"/>
      <w:r w:rsidRPr="00DE1A5D">
        <w:rPr>
          <w:b/>
          <w:u w:val="single"/>
        </w:rPr>
        <w:t>FT</w:t>
      </w:r>
      <w:r w:rsidR="00DE1A5D" w:rsidRPr="00DE1A5D">
        <w:rPr>
          <w:b/>
          <w:u w:val="single"/>
        </w:rPr>
        <w:t>-</w:t>
      </w:r>
      <w:r w:rsidRPr="00DE1A5D">
        <w:rPr>
          <w:b/>
          <w:u w:val="single"/>
        </w:rPr>
        <w:t>SE</w:t>
      </w:r>
      <w:proofErr w:type="spellEnd"/>
      <w:r w:rsidRPr="00DE1A5D">
        <w:rPr>
          <w:b/>
          <w:u w:val="single"/>
        </w:rPr>
        <w:t xml:space="preserve"> </w:t>
      </w:r>
      <w:r w:rsidR="00DE1A5D" w:rsidRPr="00DE1A5D">
        <w:rPr>
          <w:b/>
          <w:u w:val="single"/>
        </w:rPr>
        <w:t>100</w:t>
      </w:r>
    </w:p>
    <w:p w:rsidR="00945930" w:rsidRDefault="00945930" w:rsidP="00945930">
      <w:pPr>
        <w:pStyle w:val="Bezodstpw"/>
        <w:jc w:val="both"/>
        <w:rPr>
          <w:b/>
          <w:u w:val="single"/>
        </w:rPr>
      </w:pPr>
    </w:p>
    <w:p w:rsidR="00945930" w:rsidRDefault="00945930" w:rsidP="00945930">
      <w:pPr>
        <w:pStyle w:val="Bezodstpw"/>
        <w:jc w:val="both"/>
        <w:rPr>
          <w:b/>
          <w:color w:val="FF0000"/>
        </w:rPr>
      </w:pPr>
      <w:r>
        <w:t xml:space="preserve">Gdyby wypełniła się formacja krótkoterminowego podwójnego szczytu na wykresie indeksu FTSE 250 oznaczałoby to spadek tego indeksu </w:t>
      </w:r>
      <w:r w:rsidRPr="003E6062">
        <w:rPr>
          <w:b/>
          <w:color w:val="FF0000"/>
        </w:rPr>
        <w:t xml:space="preserve">o </w:t>
      </w:r>
      <w:r w:rsidR="00DE1A5D">
        <w:rPr>
          <w:b/>
          <w:color w:val="FF0000"/>
        </w:rPr>
        <w:t xml:space="preserve">1,1 %. </w:t>
      </w:r>
    </w:p>
    <w:p w:rsidR="00DE1A5D" w:rsidRDefault="00DE1A5D" w:rsidP="00945930">
      <w:pPr>
        <w:pStyle w:val="Bezodstpw"/>
        <w:jc w:val="both"/>
        <w:rPr>
          <w:b/>
          <w:color w:val="FF0000"/>
        </w:rPr>
      </w:pPr>
    </w:p>
    <w:p w:rsidR="00DE1A5D" w:rsidRDefault="00DE1A5D" w:rsidP="00945930">
      <w:pPr>
        <w:pStyle w:val="Bezodstpw"/>
        <w:jc w:val="both"/>
        <w:rPr>
          <w:b/>
          <w:color w:val="FF0000"/>
        </w:rPr>
      </w:pPr>
      <w:r>
        <w:rPr>
          <w:b/>
          <w:noProof/>
          <w:color w:val="FF0000"/>
        </w:rPr>
        <w:drawing>
          <wp:inline distT="0" distB="0" distL="0" distR="0">
            <wp:extent cx="4800600" cy="2895600"/>
            <wp:effectExtent l="1905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800600" cy="2895600"/>
                    </a:xfrm>
                    <a:prstGeom prst="rect">
                      <a:avLst/>
                    </a:prstGeom>
                    <a:noFill/>
                  </pic:spPr>
                </pic:pic>
              </a:graphicData>
            </a:graphic>
          </wp:inline>
        </w:drawing>
      </w:r>
    </w:p>
    <w:p w:rsidR="00DE1A5D" w:rsidRDefault="00DE1A5D" w:rsidP="00945930">
      <w:pPr>
        <w:pStyle w:val="Bezodstpw"/>
        <w:jc w:val="both"/>
        <w:rPr>
          <w:b/>
          <w:color w:val="FF0000"/>
        </w:rPr>
      </w:pPr>
    </w:p>
    <w:p w:rsidR="00DE1A5D" w:rsidRDefault="0062397A" w:rsidP="00945930">
      <w:pPr>
        <w:pStyle w:val="Bezodstpw"/>
        <w:jc w:val="both"/>
        <w:rPr>
          <w:color w:val="000000" w:themeColor="text1"/>
        </w:rPr>
      </w:pPr>
      <w:r>
        <w:rPr>
          <w:color w:val="000000" w:themeColor="text1"/>
        </w:rPr>
        <w:t xml:space="preserve">To tylko </w:t>
      </w:r>
      <w:r w:rsidR="00A519DD">
        <w:rPr>
          <w:color w:val="000000" w:themeColor="text1"/>
        </w:rPr>
        <w:t>kilka przykładów</w:t>
      </w:r>
      <w:r>
        <w:rPr>
          <w:color w:val="000000" w:themeColor="text1"/>
        </w:rPr>
        <w:t xml:space="preserve">. Skala potencjalnych spadków jest tutaj bardzo różna. Od tylko 1,1 % w przypadku indeksu giełdy londyńskiej do aż 6,6 % w przypadku indeksu giełdy paryskiej. </w:t>
      </w:r>
    </w:p>
    <w:p w:rsidR="0062397A" w:rsidRDefault="0062397A" w:rsidP="00945930">
      <w:pPr>
        <w:pStyle w:val="Bezodstpw"/>
        <w:jc w:val="both"/>
        <w:rPr>
          <w:color w:val="000000" w:themeColor="text1"/>
        </w:rPr>
      </w:pPr>
    </w:p>
    <w:p w:rsidR="0062397A" w:rsidRDefault="0062397A" w:rsidP="00945930">
      <w:pPr>
        <w:pStyle w:val="Bezodstpw"/>
        <w:jc w:val="both"/>
        <w:rPr>
          <w:color w:val="000000" w:themeColor="text1"/>
        </w:rPr>
      </w:pPr>
      <w:r>
        <w:rPr>
          <w:color w:val="000000" w:themeColor="text1"/>
        </w:rPr>
        <w:t xml:space="preserve">Generalnie warto podkreślić, że formacje te maja charakter krótkoterminowy. Naturalnie </w:t>
      </w:r>
      <w:r w:rsidRPr="00A519DD">
        <w:rPr>
          <w:b/>
          <w:color w:val="000000" w:themeColor="text1"/>
        </w:rPr>
        <w:t>teoretycznie jest możliwe</w:t>
      </w:r>
      <w:r>
        <w:rPr>
          <w:color w:val="000000" w:themeColor="text1"/>
        </w:rPr>
        <w:t xml:space="preserve">, że wybicie z tych krótkoterminowych formacji oznaczałoby pojawienie się </w:t>
      </w:r>
      <w:r>
        <w:rPr>
          <w:color w:val="000000" w:themeColor="text1"/>
        </w:rPr>
        <w:lastRenderedPageBreak/>
        <w:t>nowego średnio-terminowego lub długoterminowego trendu</w:t>
      </w:r>
      <w:r w:rsidR="00A519DD">
        <w:rPr>
          <w:color w:val="000000" w:themeColor="text1"/>
        </w:rPr>
        <w:t xml:space="preserve"> spadkowego</w:t>
      </w:r>
      <w:r>
        <w:rPr>
          <w:color w:val="000000" w:themeColor="text1"/>
        </w:rPr>
        <w:t xml:space="preserve">, </w:t>
      </w:r>
      <w:r w:rsidRPr="00A519DD">
        <w:rPr>
          <w:b/>
          <w:color w:val="000000" w:themeColor="text1"/>
        </w:rPr>
        <w:t>ale</w:t>
      </w:r>
      <w:r>
        <w:rPr>
          <w:color w:val="000000" w:themeColor="text1"/>
        </w:rPr>
        <w:t xml:space="preserve"> biorąc pod uwagę to, że wchodzimy </w:t>
      </w:r>
      <w:r w:rsidRPr="0062397A">
        <w:rPr>
          <w:color w:val="000000" w:themeColor="text1"/>
        </w:rPr>
        <w:t>w</w:t>
      </w:r>
      <w:r>
        <w:rPr>
          <w:color w:val="000000" w:themeColor="text1"/>
        </w:rPr>
        <w:t>łaśnie w bardzo korzystny dla rynków akcji w poszczególnych krajach okres cyklu prezydenckiego w USA (okres między końcem października drugiego roku po poprzednich wyborach a końcem kwietnia roku następującego przez kolejnymi wyborami prezydenta w USA</w:t>
      </w:r>
      <w:r w:rsidR="00A519DD">
        <w:rPr>
          <w:color w:val="000000" w:themeColor="text1"/>
        </w:rPr>
        <w:t>)</w:t>
      </w:r>
      <w:r>
        <w:rPr>
          <w:color w:val="000000" w:themeColor="text1"/>
        </w:rPr>
        <w:t xml:space="preserve"> ten ewentualny średnio- bądź dług-terminowy scenariusz spadkowy uważam za mało prawdopodobny. </w:t>
      </w:r>
    </w:p>
    <w:p w:rsidR="0062397A" w:rsidRDefault="0062397A" w:rsidP="00945930">
      <w:pPr>
        <w:pStyle w:val="Bezodstpw"/>
        <w:jc w:val="both"/>
        <w:rPr>
          <w:color w:val="000000" w:themeColor="text1"/>
        </w:rPr>
      </w:pPr>
    </w:p>
    <w:p w:rsidR="0062397A" w:rsidRDefault="0062397A" w:rsidP="00945930">
      <w:pPr>
        <w:pStyle w:val="Bezodstpw"/>
        <w:jc w:val="both"/>
        <w:rPr>
          <w:color w:val="000000" w:themeColor="text1"/>
        </w:rPr>
      </w:pPr>
      <w:r>
        <w:rPr>
          <w:color w:val="000000" w:themeColor="text1"/>
        </w:rPr>
        <w:t xml:space="preserve">Warto przy okazji zauważyć wzrastającą siłę polskiego rynku akcji na tle rynków dojrzałych. O ile na przykład WIG 20 wciąż znajduje się powyżej swego dołka z końca pierwszej dekady sierpnia 2014 roku, o tyle </w:t>
      </w:r>
      <w:r w:rsidRPr="00A519DD">
        <w:rPr>
          <w:b/>
          <w:color w:val="000000" w:themeColor="text1"/>
          <w:u w:val="single"/>
        </w:rPr>
        <w:t>wiele indeksów rynków dojrzałych</w:t>
      </w:r>
      <w:r>
        <w:rPr>
          <w:color w:val="000000" w:themeColor="text1"/>
        </w:rPr>
        <w:t xml:space="preserve"> spadło już poniżej tego dołka. </w:t>
      </w:r>
    </w:p>
    <w:p w:rsidR="0062397A" w:rsidRDefault="0062397A" w:rsidP="00945930">
      <w:pPr>
        <w:pStyle w:val="Bezodstpw"/>
        <w:jc w:val="both"/>
        <w:rPr>
          <w:color w:val="000000" w:themeColor="text1"/>
        </w:rPr>
      </w:pPr>
    </w:p>
    <w:p w:rsidR="0062397A" w:rsidRDefault="0062397A" w:rsidP="00945930">
      <w:pPr>
        <w:pStyle w:val="Bezodstpw"/>
        <w:jc w:val="both"/>
        <w:rPr>
          <w:color w:val="000000" w:themeColor="text1"/>
        </w:rPr>
      </w:pPr>
      <w:r w:rsidRPr="00A519DD">
        <w:rPr>
          <w:b/>
          <w:color w:val="000000" w:themeColor="text1"/>
          <w:u w:val="single"/>
        </w:rPr>
        <w:t xml:space="preserve">Jednym z </w:t>
      </w:r>
      <w:r w:rsidR="000E5DF7">
        <w:rPr>
          <w:b/>
          <w:color w:val="000000" w:themeColor="text1"/>
          <w:u w:val="single"/>
        </w:rPr>
        <w:t xml:space="preserve">pozytywnych </w:t>
      </w:r>
      <w:r w:rsidRPr="00A519DD">
        <w:rPr>
          <w:b/>
          <w:color w:val="000000" w:themeColor="text1"/>
          <w:u w:val="single"/>
        </w:rPr>
        <w:t>wyjątków</w:t>
      </w:r>
      <w:r>
        <w:rPr>
          <w:color w:val="000000" w:themeColor="text1"/>
        </w:rPr>
        <w:t xml:space="preserve"> jest (uwaga !) indeks giełdy japońskiej NIKKEI 225. </w:t>
      </w:r>
      <w:r w:rsidR="00A519DD">
        <w:rPr>
          <w:color w:val="000000" w:themeColor="text1"/>
        </w:rPr>
        <w:t>Także długoterminowy w</w:t>
      </w:r>
      <w:r>
        <w:rPr>
          <w:color w:val="000000" w:themeColor="text1"/>
        </w:rPr>
        <w:t xml:space="preserve">ygląd techniczny tego indeksu jest bardzo </w:t>
      </w:r>
      <w:r w:rsidR="00182167">
        <w:rPr>
          <w:color w:val="000000" w:themeColor="text1"/>
        </w:rPr>
        <w:t xml:space="preserve">optymistyczny. Szczególnie cieszy przebicie spadkowej linii trendu poprowadzonej przez szczyty z 29 grudnia 1989 roku oraz 9 lipca 2007 roku. </w:t>
      </w:r>
    </w:p>
    <w:p w:rsidR="00182167" w:rsidRDefault="00182167" w:rsidP="00945930">
      <w:pPr>
        <w:pStyle w:val="Bezodstpw"/>
        <w:jc w:val="both"/>
        <w:rPr>
          <w:color w:val="000000" w:themeColor="text1"/>
        </w:rPr>
      </w:pPr>
    </w:p>
    <w:p w:rsidR="00182167" w:rsidRPr="0062397A" w:rsidRDefault="00182167" w:rsidP="00945930">
      <w:pPr>
        <w:pStyle w:val="Bezodstpw"/>
        <w:jc w:val="both"/>
        <w:rPr>
          <w:color w:val="000000" w:themeColor="text1"/>
        </w:rPr>
      </w:pPr>
      <w:r>
        <w:rPr>
          <w:noProof/>
          <w:color w:val="000000" w:themeColor="text1"/>
        </w:rPr>
        <w:drawing>
          <wp:inline distT="0" distB="0" distL="0" distR="0">
            <wp:extent cx="6000750" cy="3619500"/>
            <wp:effectExtent l="1905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000750" cy="3619500"/>
                    </a:xfrm>
                    <a:prstGeom prst="rect">
                      <a:avLst/>
                    </a:prstGeom>
                    <a:noFill/>
                  </pic:spPr>
                </pic:pic>
              </a:graphicData>
            </a:graphic>
          </wp:inline>
        </w:drawing>
      </w:r>
    </w:p>
    <w:p w:rsidR="00DE1A5D" w:rsidRDefault="00DE1A5D" w:rsidP="00945930">
      <w:pPr>
        <w:pStyle w:val="Bezodstpw"/>
        <w:jc w:val="both"/>
        <w:rPr>
          <w:b/>
          <w:color w:val="FF0000"/>
        </w:rPr>
      </w:pPr>
    </w:p>
    <w:p w:rsidR="00DE1A5D" w:rsidRPr="00182167" w:rsidRDefault="00182167" w:rsidP="00945930">
      <w:pPr>
        <w:pStyle w:val="Bezodstpw"/>
        <w:jc w:val="both"/>
        <w:rPr>
          <w:color w:val="000000" w:themeColor="text1"/>
        </w:rPr>
      </w:pPr>
      <w:r w:rsidRPr="00182167">
        <w:rPr>
          <w:color w:val="000000" w:themeColor="text1"/>
        </w:rPr>
        <w:t xml:space="preserve">Ta </w:t>
      </w:r>
      <w:r>
        <w:rPr>
          <w:color w:val="000000" w:themeColor="text1"/>
        </w:rPr>
        <w:t xml:space="preserve">relatywna siła indeksu giełdy japońskiej może mieć swoje źródło w ekspansywnej polityce budżetowej oraz pieniężnej prowadzonej przez rząd Japonii oraz tamtejszy bank centralny. </w:t>
      </w:r>
    </w:p>
    <w:p w:rsidR="00DE1A5D" w:rsidRPr="00561D74" w:rsidRDefault="00DE1A5D" w:rsidP="00945930">
      <w:pPr>
        <w:pStyle w:val="Bezodstpw"/>
        <w:jc w:val="both"/>
        <w:rPr>
          <w:color w:val="000000" w:themeColor="text1"/>
        </w:rPr>
      </w:pPr>
    </w:p>
    <w:p w:rsidR="00561D74" w:rsidRDefault="00561D74" w:rsidP="00561D74">
      <w:pPr>
        <w:pStyle w:val="Bezodstpw"/>
        <w:jc w:val="both"/>
      </w:pPr>
      <w:r w:rsidRPr="00561D74">
        <w:t xml:space="preserve">Z szacunków japońskich komentatorów wynika, że </w:t>
      </w:r>
      <w:r w:rsidRPr="00A519DD">
        <w:rPr>
          <w:b/>
        </w:rPr>
        <w:t>bank centralny Japonii</w:t>
      </w:r>
      <w:r>
        <w:t xml:space="preserve"> </w:t>
      </w:r>
      <w:r w:rsidRPr="00561D74">
        <w:t xml:space="preserve">może dysponować portfelem akcji i </w:t>
      </w:r>
      <w:r>
        <w:t xml:space="preserve">tak zwanych </w:t>
      </w:r>
      <w:r w:rsidRPr="00561D74">
        <w:t>ETF</w:t>
      </w:r>
      <w:r>
        <w:t xml:space="preserve"> – ów </w:t>
      </w:r>
      <w:r w:rsidRPr="00561D74">
        <w:t xml:space="preserve"> o wartości 7 bilionów jenów. Kwota ta odpowiada 1,5% wartości całego japońskiego rynku akcji. </w:t>
      </w:r>
      <w:r>
        <w:t xml:space="preserve">Warto przypomnieć, że ETF to </w:t>
      </w:r>
      <w:r w:rsidRPr="00561D74">
        <w:t>otwarty fundusz inwestycyjny notowany na giełdzie, którego zadaniem jest odzwierciedlanie zachowani</w:t>
      </w:r>
      <w:r>
        <w:t>a się danego indeksu giełdowego (w tym przypadku japońskiego). Pojawiają się szacunku, że j</w:t>
      </w:r>
      <w:r w:rsidRPr="00561D74">
        <w:t>eżeli władze monetarne trzeciej największej gospodarki świata będą kontynuować zakupy w takim tempie, to już niebawem wyprzedzą Nippon Life Insurance i staną się największym po państwowym funduszu emerytalnym graczem (21 bilionów jenów w por</w:t>
      </w:r>
      <w:r w:rsidR="000E5DF7">
        <w:t xml:space="preserve">tfelu) na japońskim rynku akcji (źródło: </w:t>
      </w:r>
      <w:hyperlink r:id="rId22" w:history="1">
        <w:r w:rsidR="000E5DF7" w:rsidRPr="001A7AC7">
          <w:rPr>
            <w:rStyle w:val="Hipercze"/>
          </w:rPr>
          <w:t>www.bankier.pl</w:t>
        </w:r>
      </w:hyperlink>
      <w:r w:rsidR="000E5DF7">
        <w:t>)</w:t>
      </w:r>
    </w:p>
    <w:p w:rsidR="000E5DF7" w:rsidRDefault="000E5DF7" w:rsidP="00561D74">
      <w:pPr>
        <w:pStyle w:val="Bezodstpw"/>
        <w:jc w:val="both"/>
      </w:pPr>
    </w:p>
    <w:p w:rsidR="000E5DF7" w:rsidRDefault="00C62125" w:rsidP="00561D74">
      <w:pPr>
        <w:pStyle w:val="Bezodstpw"/>
        <w:jc w:val="both"/>
      </w:pPr>
      <w:hyperlink r:id="rId23" w:history="1">
        <w:r w:rsidR="000E5DF7" w:rsidRPr="001A7AC7">
          <w:rPr>
            <w:rStyle w:val="Hipercze"/>
          </w:rPr>
          <w:t>http://www.bankier.pl/wiadomosc/Japonia-bank-centralny-wpadl-w-zakupoholizm-7218426.html</w:t>
        </w:r>
      </w:hyperlink>
    </w:p>
    <w:p w:rsidR="000E5DF7" w:rsidRPr="00561D74" w:rsidRDefault="000E5DF7" w:rsidP="00561D74">
      <w:pPr>
        <w:pStyle w:val="Bezodstpw"/>
        <w:jc w:val="both"/>
      </w:pPr>
    </w:p>
    <w:p w:rsidR="00881030" w:rsidRDefault="00881030" w:rsidP="00881030">
      <w:pPr>
        <w:pStyle w:val="Bezodstpw"/>
        <w:pBdr>
          <w:top w:val="single" w:sz="4" w:space="1" w:color="auto"/>
          <w:left w:val="single" w:sz="4" w:space="4" w:color="auto"/>
          <w:bottom w:val="single" w:sz="4" w:space="1" w:color="auto"/>
          <w:right w:val="single" w:sz="4" w:space="4" w:color="auto"/>
        </w:pBdr>
        <w:jc w:val="center"/>
      </w:pPr>
      <w:r>
        <w:lastRenderedPageBreak/>
        <w:t xml:space="preserve">Wykres do przemyślenia – refleksje </w:t>
      </w:r>
    </w:p>
    <w:p w:rsidR="00881030" w:rsidRDefault="00881030" w:rsidP="00881030">
      <w:pPr>
        <w:pStyle w:val="Bezodstpw"/>
        <w:jc w:val="both"/>
      </w:pPr>
    </w:p>
    <w:p w:rsidR="00881030" w:rsidRDefault="00881030" w:rsidP="00881030">
      <w:pPr>
        <w:pStyle w:val="Bezodstpw"/>
        <w:jc w:val="both"/>
      </w:pPr>
      <w:r>
        <w:t xml:space="preserve">W pierwszym numerze ,,Raportu Tygodniowego” z 8 września 2014 roku pojawiły się wykresy akcji czterech spółek. Były to wykresy akcji następujących spółek: </w:t>
      </w:r>
    </w:p>
    <w:p w:rsidR="00881030" w:rsidRDefault="00881030" w:rsidP="00881030">
      <w:pPr>
        <w:pStyle w:val="Bezodstpw"/>
        <w:jc w:val="both"/>
      </w:pPr>
    </w:p>
    <w:p w:rsidR="00881030" w:rsidRDefault="00881030" w:rsidP="00881030">
      <w:pPr>
        <w:pStyle w:val="Bezodstpw"/>
        <w:numPr>
          <w:ilvl w:val="0"/>
          <w:numId w:val="1"/>
        </w:numPr>
        <w:jc w:val="both"/>
      </w:pPr>
      <w:proofErr w:type="spellStart"/>
      <w:r>
        <w:t>Immobile</w:t>
      </w:r>
      <w:proofErr w:type="spellEnd"/>
    </w:p>
    <w:p w:rsidR="00881030" w:rsidRDefault="00881030" w:rsidP="00881030">
      <w:pPr>
        <w:pStyle w:val="Bezodstpw"/>
        <w:numPr>
          <w:ilvl w:val="0"/>
          <w:numId w:val="1"/>
        </w:numPr>
        <w:jc w:val="both"/>
      </w:pPr>
      <w:r>
        <w:t>Lena</w:t>
      </w:r>
    </w:p>
    <w:p w:rsidR="00881030" w:rsidRDefault="00881030" w:rsidP="00881030">
      <w:pPr>
        <w:pStyle w:val="Bezodstpw"/>
        <w:numPr>
          <w:ilvl w:val="0"/>
          <w:numId w:val="1"/>
        </w:numPr>
        <w:jc w:val="both"/>
      </w:pPr>
      <w:proofErr w:type="spellStart"/>
      <w:r>
        <w:t>Netmedia</w:t>
      </w:r>
      <w:proofErr w:type="spellEnd"/>
      <w:r>
        <w:t xml:space="preserve"> </w:t>
      </w:r>
    </w:p>
    <w:p w:rsidR="00881030" w:rsidRDefault="00881030" w:rsidP="00881030">
      <w:pPr>
        <w:pStyle w:val="Bezodstpw"/>
        <w:numPr>
          <w:ilvl w:val="0"/>
          <w:numId w:val="1"/>
        </w:numPr>
        <w:jc w:val="both"/>
      </w:pPr>
      <w:r>
        <w:t>Rafako</w:t>
      </w:r>
    </w:p>
    <w:p w:rsidR="00881030" w:rsidRDefault="00881030" w:rsidP="00881030">
      <w:pPr>
        <w:pStyle w:val="Bezodstpw"/>
        <w:jc w:val="both"/>
      </w:pPr>
    </w:p>
    <w:p w:rsidR="00881030" w:rsidRDefault="00881030" w:rsidP="00881030">
      <w:pPr>
        <w:pStyle w:val="Bezodstpw"/>
        <w:jc w:val="both"/>
      </w:pPr>
      <w:r>
        <w:t xml:space="preserve">Kryterium pojawienia się wykresu akcji danej spółki w tej rubryce jest </w:t>
      </w:r>
      <w:r w:rsidRPr="0053119C">
        <w:rPr>
          <w:b/>
        </w:rPr>
        <w:t>wybicie z formacji podwójnego dna</w:t>
      </w:r>
      <w:r>
        <w:t xml:space="preserve">. </w:t>
      </w:r>
    </w:p>
    <w:p w:rsidR="00881030" w:rsidRDefault="00881030" w:rsidP="00881030">
      <w:pPr>
        <w:pStyle w:val="Bezodstpw"/>
        <w:jc w:val="both"/>
      </w:pPr>
    </w:p>
    <w:p w:rsidR="00881030" w:rsidRDefault="00881030" w:rsidP="00881030">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w:t>
      </w:r>
      <w:r w:rsidR="00A519DD">
        <w:t>10</w:t>
      </w:r>
      <w:r>
        <w:t xml:space="preserve"> października 2014 roku oraz procentowa zmiana indeksu WIG 20 w tym okresie. </w:t>
      </w: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D165D7">
            <w:pPr>
              <w:pStyle w:val="Bezodstpw"/>
              <w:jc w:val="center"/>
            </w:pPr>
            <w:r>
              <w:t>Poziom – 05.09.2014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 xml:space="preserve">Akcja spółki </w:t>
            </w:r>
            <w:proofErr w:type="spellStart"/>
            <w:r>
              <w:t>Immobile</w:t>
            </w:r>
            <w:proofErr w:type="spellEnd"/>
          </w:p>
        </w:tc>
        <w:tc>
          <w:tcPr>
            <w:tcW w:w="2302" w:type="dxa"/>
          </w:tcPr>
          <w:p w:rsidR="00881030" w:rsidRDefault="00881030" w:rsidP="00D165D7">
            <w:pPr>
              <w:pStyle w:val="Bezodstpw"/>
              <w:jc w:val="center"/>
            </w:pPr>
            <w:r>
              <w:t>2,04 zł.</w:t>
            </w:r>
          </w:p>
        </w:tc>
        <w:tc>
          <w:tcPr>
            <w:tcW w:w="2303" w:type="dxa"/>
          </w:tcPr>
          <w:p w:rsidR="00881030" w:rsidRDefault="001B3D07" w:rsidP="00D165D7">
            <w:pPr>
              <w:pStyle w:val="Bezodstpw"/>
              <w:jc w:val="center"/>
            </w:pPr>
            <w:r>
              <w:t>2,27 zł.</w:t>
            </w:r>
          </w:p>
        </w:tc>
        <w:tc>
          <w:tcPr>
            <w:tcW w:w="1134" w:type="dxa"/>
          </w:tcPr>
          <w:p w:rsidR="00881030" w:rsidRDefault="00881030" w:rsidP="001B3D07">
            <w:pPr>
              <w:pStyle w:val="Bezodstpw"/>
              <w:jc w:val="center"/>
            </w:pPr>
            <w:r>
              <w:t xml:space="preserve">  +</w:t>
            </w:r>
            <w:r w:rsidR="001B3D07">
              <w:t>11,3 %</w:t>
            </w:r>
          </w:p>
        </w:tc>
      </w:tr>
      <w:tr w:rsidR="00881030" w:rsidTr="00D165D7">
        <w:tc>
          <w:tcPr>
            <w:tcW w:w="3402" w:type="dxa"/>
          </w:tcPr>
          <w:p w:rsidR="00881030" w:rsidRDefault="00881030" w:rsidP="00D165D7">
            <w:pPr>
              <w:pStyle w:val="Bezodstpw"/>
              <w:jc w:val="center"/>
            </w:pPr>
            <w:r>
              <w:t>Akcja spółki Lena</w:t>
            </w:r>
          </w:p>
        </w:tc>
        <w:tc>
          <w:tcPr>
            <w:tcW w:w="2302" w:type="dxa"/>
          </w:tcPr>
          <w:p w:rsidR="00881030" w:rsidRDefault="00881030" w:rsidP="00D165D7">
            <w:pPr>
              <w:pStyle w:val="Bezodstpw"/>
              <w:jc w:val="center"/>
            </w:pPr>
            <w:r>
              <w:t xml:space="preserve">3,99 zł. </w:t>
            </w:r>
          </w:p>
        </w:tc>
        <w:tc>
          <w:tcPr>
            <w:tcW w:w="2303" w:type="dxa"/>
          </w:tcPr>
          <w:p w:rsidR="00881030" w:rsidRDefault="001B3D07" w:rsidP="00D165D7">
            <w:pPr>
              <w:pStyle w:val="Bezodstpw"/>
              <w:jc w:val="center"/>
            </w:pPr>
            <w:r>
              <w:t>3,97 zł.</w:t>
            </w:r>
          </w:p>
        </w:tc>
        <w:tc>
          <w:tcPr>
            <w:tcW w:w="1134" w:type="dxa"/>
          </w:tcPr>
          <w:p w:rsidR="00881030" w:rsidRDefault="00881030" w:rsidP="00D165D7">
            <w:pPr>
              <w:pStyle w:val="Bezodstpw"/>
              <w:jc w:val="center"/>
            </w:pPr>
            <w:r>
              <w:t xml:space="preserve"> </w:t>
            </w:r>
            <w:r w:rsidR="001B3D07">
              <w:t xml:space="preserve">  -0,5 %</w:t>
            </w:r>
          </w:p>
        </w:tc>
      </w:tr>
      <w:tr w:rsidR="00881030" w:rsidTr="00D165D7">
        <w:tc>
          <w:tcPr>
            <w:tcW w:w="3402" w:type="dxa"/>
          </w:tcPr>
          <w:p w:rsidR="00881030" w:rsidRDefault="00881030" w:rsidP="00D165D7">
            <w:pPr>
              <w:pStyle w:val="Bezodstpw"/>
              <w:jc w:val="center"/>
            </w:pPr>
            <w:r>
              <w:t xml:space="preserve">Akcja spółki  </w:t>
            </w:r>
            <w:proofErr w:type="spellStart"/>
            <w:r>
              <w:t>Netmedia</w:t>
            </w:r>
            <w:proofErr w:type="spellEnd"/>
          </w:p>
        </w:tc>
        <w:tc>
          <w:tcPr>
            <w:tcW w:w="2302" w:type="dxa"/>
          </w:tcPr>
          <w:p w:rsidR="00881030" w:rsidRDefault="00881030" w:rsidP="00D165D7">
            <w:pPr>
              <w:pStyle w:val="Bezodstpw"/>
              <w:jc w:val="center"/>
            </w:pPr>
            <w:r>
              <w:t xml:space="preserve">3,63 zł. </w:t>
            </w:r>
          </w:p>
        </w:tc>
        <w:tc>
          <w:tcPr>
            <w:tcW w:w="2303" w:type="dxa"/>
          </w:tcPr>
          <w:p w:rsidR="00881030" w:rsidRDefault="001B3D07" w:rsidP="00D165D7">
            <w:pPr>
              <w:pStyle w:val="Bezodstpw"/>
              <w:jc w:val="center"/>
            </w:pPr>
            <w:r>
              <w:t>3,55 zł.</w:t>
            </w:r>
          </w:p>
        </w:tc>
        <w:tc>
          <w:tcPr>
            <w:tcW w:w="1134" w:type="dxa"/>
          </w:tcPr>
          <w:p w:rsidR="00881030" w:rsidRDefault="00881030" w:rsidP="00D165D7">
            <w:pPr>
              <w:pStyle w:val="Bezodstpw"/>
              <w:jc w:val="center"/>
            </w:pPr>
            <w:r>
              <w:t xml:space="preserve">  </w:t>
            </w:r>
            <w:r w:rsidR="001B3D07">
              <w:t xml:space="preserve">  </w:t>
            </w:r>
            <w:r>
              <w:t>-</w:t>
            </w:r>
            <w:r w:rsidR="001B3D07">
              <w:t>2,2 %</w:t>
            </w:r>
          </w:p>
        </w:tc>
      </w:tr>
      <w:tr w:rsidR="00881030" w:rsidTr="00D165D7">
        <w:tc>
          <w:tcPr>
            <w:tcW w:w="3402" w:type="dxa"/>
          </w:tcPr>
          <w:p w:rsidR="00881030" w:rsidRDefault="00881030" w:rsidP="00D165D7">
            <w:pPr>
              <w:pStyle w:val="Bezodstpw"/>
              <w:jc w:val="center"/>
            </w:pPr>
            <w:r>
              <w:t>Akcja spółki Rafako</w:t>
            </w:r>
          </w:p>
        </w:tc>
        <w:tc>
          <w:tcPr>
            <w:tcW w:w="2302" w:type="dxa"/>
            <w:tcBorders>
              <w:bottom w:val="single" w:sz="4" w:space="0" w:color="auto"/>
            </w:tcBorders>
          </w:tcPr>
          <w:p w:rsidR="00881030" w:rsidRDefault="00881030" w:rsidP="00D165D7">
            <w:pPr>
              <w:pStyle w:val="Bezodstpw"/>
              <w:jc w:val="center"/>
            </w:pPr>
            <w:r>
              <w:t xml:space="preserve">4,25 zł. </w:t>
            </w:r>
          </w:p>
        </w:tc>
        <w:tc>
          <w:tcPr>
            <w:tcW w:w="2303" w:type="dxa"/>
            <w:tcBorders>
              <w:bottom w:val="single" w:sz="4" w:space="0" w:color="auto"/>
            </w:tcBorders>
          </w:tcPr>
          <w:p w:rsidR="00881030" w:rsidRDefault="001B3D07" w:rsidP="00D165D7">
            <w:pPr>
              <w:pStyle w:val="Bezodstpw"/>
              <w:jc w:val="center"/>
            </w:pPr>
            <w:r>
              <w:t>4,86 zł.</w:t>
            </w:r>
          </w:p>
        </w:tc>
        <w:tc>
          <w:tcPr>
            <w:tcW w:w="1134" w:type="dxa"/>
          </w:tcPr>
          <w:p w:rsidR="00881030" w:rsidRDefault="00881030" w:rsidP="00D165D7">
            <w:pPr>
              <w:pStyle w:val="Bezodstpw"/>
              <w:jc w:val="center"/>
            </w:pPr>
            <w:r>
              <w:t>+</w:t>
            </w:r>
            <w:r w:rsidR="001B3D07">
              <w:t>14,4 %</w:t>
            </w:r>
          </w:p>
        </w:tc>
      </w:tr>
      <w:tr w:rsidR="00881030"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94581D" w:rsidP="001B3D07">
            <w:pPr>
              <w:pStyle w:val="Bezodstpw"/>
              <w:jc w:val="center"/>
              <w:rPr>
                <w:b/>
                <w:color w:val="FF0000"/>
              </w:rPr>
            </w:pPr>
            <w:r>
              <w:rPr>
                <w:b/>
                <w:color w:val="FF0000"/>
              </w:rPr>
              <w:t xml:space="preserve">  </w:t>
            </w:r>
            <w:r w:rsidR="00881030">
              <w:rPr>
                <w:b/>
                <w:color w:val="FF0000"/>
              </w:rPr>
              <w:t>+</w:t>
            </w:r>
            <w:r w:rsidR="001B3D07">
              <w:rPr>
                <w:b/>
                <w:color w:val="FF0000"/>
              </w:rPr>
              <w:t>5</w:t>
            </w:r>
            <w:r w:rsidR="00881030">
              <w:rPr>
                <w:b/>
                <w:color w:val="FF0000"/>
              </w:rPr>
              <w:t>,7 %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D165D7">
            <w:pPr>
              <w:pStyle w:val="Bezodstpw"/>
              <w:jc w:val="center"/>
            </w:pPr>
            <w:r>
              <w:t xml:space="preserve">2 541,42 pkt. </w:t>
            </w:r>
          </w:p>
        </w:tc>
        <w:tc>
          <w:tcPr>
            <w:tcW w:w="2303" w:type="dxa"/>
          </w:tcPr>
          <w:p w:rsidR="00881030" w:rsidRDefault="001B3D07" w:rsidP="00D165D7">
            <w:pPr>
              <w:pStyle w:val="Bezodstpw"/>
              <w:jc w:val="center"/>
            </w:pPr>
            <w:r>
              <w:t>2 392,62 pkt.</w:t>
            </w:r>
          </w:p>
        </w:tc>
        <w:tc>
          <w:tcPr>
            <w:tcW w:w="1134" w:type="dxa"/>
          </w:tcPr>
          <w:p w:rsidR="00881030" w:rsidRDefault="0094581D" w:rsidP="001B3D07">
            <w:pPr>
              <w:pStyle w:val="Bezodstpw"/>
              <w:jc w:val="center"/>
            </w:pPr>
            <w:r>
              <w:t xml:space="preserve">  </w:t>
            </w:r>
            <w:r w:rsidR="00881030">
              <w:t>-</w:t>
            </w:r>
            <w:r w:rsidR="001B3D07">
              <w:t>5</w:t>
            </w:r>
            <w:r w:rsidR="00881030">
              <w:t>,</w:t>
            </w:r>
            <w:r w:rsidR="001B3D07">
              <w:t>9</w:t>
            </w:r>
            <w:r w:rsidR="00881030">
              <w:t xml:space="preserve"> %</w:t>
            </w:r>
          </w:p>
        </w:tc>
      </w:tr>
    </w:tbl>
    <w:p w:rsidR="00881030" w:rsidRDefault="00881030" w:rsidP="00881030">
      <w:pPr>
        <w:pStyle w:val="Bezodstpw"/>
        <w:jc w:val="both"/>
      </w:pPr>
      <w:r>
        <w:t xml:space="preserve">Tabela: Procentowa zmiana ceny akcji spółki, której akcje zostały wymienione w drugim numerze ,,Raportu Tygodniowego” z 15 września 2014 roku w rubryce ,,Wykres do przemyślenia” w okresie od 12 września do 3 października 2014 roku oraz procentowa zmiana indeksu WIG 20 w tym okresie. </w:t>
      </w: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D165D7">
            <w:pPr>
              <w:pStyle w:val="Bezodstpw"/>
              <w:jc w:val="center"/>
            </w:pPr>
            <w:r>
              <w:t>Poziom – 12.09.2014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Akcja spółki Boryszew</w:t>
            </w:r>
          </w:p>
        </w:tc>
        <w:tc>
          <w:tcPr>
            <w:tcW w:w="2302" w:type="dxa"/>
          </w:tcPr>
          <w:p w:rsidR="00881030" w:rsidRDefault="00881030" w:rsidP="00D165D7">
            <w:pPr>
              <w:pStyle w:val="Bezodstpw"/>
              <w:jc w:val="center"/>
            </w:pPr>
            <w:r>
              <w:t>6,50 zł.</w:t>
            </w:r>
          </w:p>
        </w:tc>
        <w:tc>
          <w:tcPr>
            <w:tcW w:w="2303" w:type="dxa"/>
          </w:tcPr>
          <w:p w:rsidR="00881030" w:rsidRDefault="0094581D" w:rsidP="00D165D7">
            <w:pPr>
              <w:pStyle w:val="Bezodstpw"/>
              <w:jc w:val="center"/>
            </w:pPr>
            <w:r>
              <w:t xml:space="preserve">6,35 zł. </w:t>
            </w:r>
          </w:p>
        </w:tc>
        <w:tc>
          <w:tcPr>
            <w:tcW w:w="1134" w:type="dxa"/>
          </w:tcPr>
          <w:p w:rsidR="00881030" w:rsidRDefault="00881030" w:rsidP="0094581D">
            <w:pPr>
              <w:pStyle w:val="Bezodstpw"/>
              <w:jc w:val="center"/>
            </w:pPr>
            <w:r>
              <w:t>-2,</w:t>
            </w:r>
            <w:r w:rsidR="0094581D">
              <w:t>3</w:t>
            </w:r>
            <w:r>
              <w:t xml:space="preserve"> %</w:t>
            </w:r>
          </w:p>
        </w:tc>
      </w:tr>
      <w:tr w:rsidR="00881030" w:rsidRPr="008F668F"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881030" w:rsidP="0094581D">
            <w:pPr>
              <w:pStyle w:val="Bezodstpw"/>
              <w:jc w:val="center"/>
              <w:rPr>
                <w:b/>
                <w:color w:val="FF0000"/>
              </w:rPr>
            </w:pPr>
            <w:r>
              <w:rPr>
                <w:b/>
                <w:color w:val="FF0000"/>
              </w:rPr>
              <w:t>-2,</w:t>
            </w:r>
            <w:r w:rsidR="0094581D">
              <w:rPr>
                <w:b/>
                <w:color w:val="FF0000"/>
              </w:rPr>
              <w:t>3</w:t>
            </w:r>
            <w:r>
              <w:rPr>
                <w:b/>
                <w:color w:val="FF0000"/>
              </w:rPr>
              <w:t xml:space="preserve">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D165D7">
            <w:pPr>
              <w:pStyle w:val="Bezodstpw"/>
              <w:jc w:val="center"/>
            </w:pPr>
            <w:r>
              <w:t xml:space="preserve">2 497,38 pkt. </w:t>
            </w:r>
          </w:p>
        </w:tc>
        <w:tc>
          <w:tcPr>
            <w:tcW w:w="2303" w:type="dxa"/>
          </w:tcPr>
          <w:p w:rsidR="00881030" w:rsidRDefault="0094581D" w:rsidP="00D165D7">
            <w:pPr>
              <w:pStyle w:val="Bezodstpw"/>
              <w:jc w:val="center"/>
            </w:pPr>
            <w:r>
              <w:t>2 392,62 pkt.</w:t>
            </w:r>
          </w:p>
        </w:tc>
        <w:tc>
          <w:tcPr>
            <w:tcW w:w="1134" w:type="dxa"/>
          </w:tcPr>
          <w:p w:rsidR="00881030" w:rsidRDefault="00881030" w:rsidP="0094581D">
            <w:pPr>
              <w:pStyle w:val="Bezodstpw"/>
              <w:jc w:val="center"/>
            </w:pPr>
            <w:r>
              <w:t>-</w:t>
            </w:r>
            <w:r w:rsidR="0094581D">
              <w:t>4</w:t>
            </w:r>
            <w:r>
              <w:t>,</w:t>
            </w:r>
            <w:r w:rsidR="0094581D">
              <w:t>2</w:t>
            </w:r>
            <w:r>
              <w:t xml:space="preserve"> %</w:t>
            </w:r>
          </w:p>
        </w:tc>
      </w:tr>
    </w:tbl>
    <w:p w:rsidR="00881030" w:rsidRDefault="00881030" w:rsidP="00881030">
      <w:pPr>
        <w:pStyle w:val="Bezodstpw"/>
        <w:jc w:val="both"/>
      </w:pPr>
    </w:p>
    <w:p w:rsidR="00881030" w:rsidRDefault="00881030" w:rsidP="00881030">
      <w:pPr>
        <w:pStyle w:val="Bezodstpw"/>
        <w:jc w:val="both"/>
      </w:pPr>
      <w:r>
        <w:t xml:space="preserve">Tabela: Procentowa zmiana ceny akcji spółki, której akcje zostały umieszczone 16 września na stronie internetowej </w:t>
      </w:r>
      <w:hyperlink r:id="rId24" w:history="1">
        <w:r w:rsidRPr="003C5ED1">
          <w:rPr>
            <w:rStyle w:val="Hipercze"/>
          </w:rPr>
          <w:t>www.analizy-rynkowe.pl</w:t>
        </w:r>
      </w:hyperlink>
      <w:r>
        <w:t xml:space="preserve"> w rubryce  ,,Wykres do przemyślenia” w okresie od 15 września do </w:t>
      </w:r>
      <w:r w:rsidR="00A1778F">
        <w:t>10</w:t>
      </w:r>
      <w:r>
        <w:t xml:space="preserve"> października 2014 roku oraz procentowa zmiana indeksu WIG 20 w tym okresie. </w:t>
      </w:r>
    </w:p>
    <w:p w:rsidR="00881030" w:rsidRDefault="00881030" w:rsidP="00881030">
      <w:pPr>
        <w:pStyle w:val="Bezodstpw"/>
        <w:jc w:val="both"/>
      </w:pP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D165D7">
            <w:pPr>
              <w:pStyle w:val="Bezodstpw"/>
              <w:jc w:val="center"/>
            </w:pPr>
            <w:r>
              <w:t>Poziom – 15.09.2014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 xml:space="preserve">Akcja spółki </w:t>
            </w:r>
            <w:proofErr w:type="spellStart"/>
            <w:r>
              <w:t>Erbud</w:t>
            </w:r>
            <w:proofErr w:type="spellEnd"/>
          </w:p>
        </w:tc>
        <w:tc>
          <w:tcPr>
            <w:tcW w:w="2302" w:type="dxa"/>
          </w:tcPr>
          <w:p w:rsidR="00881030" w:rsidRDefault="00881030" w:rsidP="00D165D7">
            <w:pPr>
              <w:pStyle w:val="Bezodstpw"/>
              <w:jc w:val="center"/>
            </w:pPr>
            <w:r>
              <w:t>26,5 zł.</w:t>
            </w:r>
          </w:p>
        </w:tc>
        <w:tc>
          <w:tcPr>
            <w:tcW w:w="2303" w:type="dxa"/>
          </w:tcPr>
          <w:p w:rsidR="00881030" w:rsidRDefault="00A14615" w:rsidP="00D165D7">
            <w:pPr>
              <w:pStyle w:val="Bezodstpw"/>
              <w:jc w:val="center"/>
            </w:pPr>
            <w:r>
              <w:t>26,26 zł.</w:t>
            </w:r>
          </w:p>
        </w:tc>
        <w:tc>
          <w:tcPr>
            <w:tcW w:w="1134" w:type="dxa"/>
          </w:tcPr>
          <w:p w:rsidR="00881030" w:rsidRDefault="00A14615" w:rsidP="00A14615">
            <w:pPr>
              <w:pStyle w:val="Bezodstpw"/>
              <w:jc w:val="center"/>
            </w:pPr>
            <w:r>
              <w:t>-0</w:t>
            </w:r>
            <w:r w:rsidR="00881030">
              <w:t>,</w:t>
            </w:r>
            <w:r>
              <w:t>9</w:t>
            </w:r>
            <w:r w:rsidR="00881030">
              <w:t xml:space="preserve"> %</w:t>
            </w:r>
          </w:p>
        </w:tc>
      </w:tr>
      <w:tr w:rsidR="00881030" w:rsidRPr="008F668F"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A14615" w:rsidP="00A14615">
            <w:pPr>
              <w:pStyle w:val="Bezodstpw"/>
              <w:jc w:val="center"/>
              <w:rPr>
                <w:b/>
                <w:color w:val="FF0000"/>
              </w:rPr>
            </w:pPr>
            <w:r>
              <w:rPr>
                <w:b/>
                <w:color w:val="FF0000"/>
              </w:rPr>
              <w:t>-0</w:t>
            </w:r>
            <w:r w:rsidR="00881030">
              <w:rPr>
                <w:b/>
                <w:color w:val="FF0000"/>
              </w:rPr>
              <w:t>,</w:t>
            </w:r>
            <w:r>
              <w:rPr>
                <w:b/>
                <w:color w:val="FF0000"/>
              </w:rPr>
              <w:t>9</w:t>
            </w:r>
            <w:r w:rsidR="00881030">
              <w:rPr>
                <w:b/>
                <w:color w:val="FF0000"/>
              </w:rPr>
              <w:t xml:space="preserve">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D165D7">
            <w:pPr>
              <w:pStyle w:val="Bezodstpw"/>
              <w:jc w:val="center"/>
            </w:pPr>
            <w:r>
              <w:t xml:space="preserve">2 489,77 pkt. </w:t>
            </w:r>
          </w:p>
        </w:tc>
        <w:tc>
          <w:tcPr>
            <w:tcW w:w="2303" w:type="dxa"/>
          </w:tcPr>
          <w:p w:rsidR="00881030" w:rsidRDefault="003C3339" w:rsidP="00D165D7">
            <w:pPr>
              <w:pStyle w:val="Bezodstpw"/>
              <w:jc w:val="center"/>
            </w:pPr>
            <w:r>
              <w:t>2 392,62 pkt.</w:t>
            </w:r>
          </w:p>
        </w:tc>
        <w:tc>
          <w:tcPr>
            <w:tcW w:w="1134" w:type="dxa"/>
          </w:tcPr>
          <w:p w:rsidR="00881030" w:rsidRDefault="00881030" w:rsidP="00A14615">
            <w:pPr>
              <w:pStyle w:val="Bezodstpw"/>
              <w:jc w:val="center"/>
            </w:pPr>
            <w:r>
              <w:t>-</w:t>
            </w:r>
            <w:r w:rsidR="00A14615">
              <w:t>3</w:t>
            </w:r>
            <w:r>
              <w:t>,</w:t>
            </w:r>
            <w:r w:rsidR="00A14615">
              <w:t>9</w:t>
            </w:r>
            <w:r>
              <w:t xml:space="preserve"> %</w:t>
            </w:r>
          </w:p>
        </w:tc>
      </w:tr>
    </w:tbl>
    <w:p w:rsidR="00881030" w:rsidRDefault="00881030" w:rsidP="00881030">
      <w:pPr>
        <w:pStyle w:val="Bezodstpw"/>
        <w:jc w:val="both"/>
      </w:pPr>
      <w:r>
        <w:t xml:space="preserve">Tabela: Procentowa zmiana ceny akcji spółki, której akcje zostały wymienione w trzecim numerze ,,Raportu Tygodniowego” z 22 września 2014 roku w rubryce ,,Wykres do przemyślenia” w okresie od 19 września do </w:t>
      </w:r>
      <w:r w:rsidR="00A1778F">
        <w:t>10</w:t>
      </w:r>
      <w:r>
        <w:t xml:space="preserve"> października 2014 roku oraz procentowa zmiana indeksu WIG 20 w tym okresie. </w:t>
      </w: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D165D7">
            <w:pPr>
              <w:pStyle w:val="Bezodstpw"/>
              <w:jc w:val="center"/>
            </w:pPr>
            <w:r>
              <w:t>Poziom – 19.09.2014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Akcja spółki IF Capital</w:t>
            </w:r>
          </w:p>
        </w:tc>
        <w:tc>
          <w:tcPr>
            <w:tcW w:w="2302" w:type="dxa"/>
          </w:tcPr>
          <w:p w:rsidR="00881030" w:rsidRDefault="00881030" w:rsidP="00D165D7">
            <w:pPr>
              <w:pStyle w:val="Bezodstpw"/>
              <w:jc w:val="center"/>
            </w:pPr>
            <w:r>
              <w:t>1,32 zł.</w:t>
            </w:r>
          </w:p>
        </w:tc>
        <w:tc>
          <w:tcPr>
            <w:tcW w:w="2303" w:type="dxa"/>
          </w:tcPr>
          <w:p w:rsidR="00881030" w:rsidRDefault="003C3339" w:rsidP="00D165D7">
            <w:pPr>
              <w:pStyle w:val="Bezodstpw"/>
              <w:jc w:val="center"/>
            </w:pPr>
            <w:r>
              <w:t>1,25 zł.</w:t>
            </w:r>
          </w:p>
        </w:tc>
        <w:tc>
          <w:tcPr>
            <w:tcW w:w="1134" w:type="dxa"/>
          </w:tcPr>
          <w:p w:rsidR="00881030" w:rsidRDefault="00881030" w:rsidP="003C3339">
            <w:pPr>
              <w:pStyle w:val="Bezodstpw"/>
              <w:jc w:val="center"/>
            </w:pPr>
            <w:r>
              <w:t>-</w:t>
            </w:r>
            <w:r w:rsidR="003C3339">
              <w:t>5</w:t>
            </w:r>
            <w:r>
              <w:t>,</w:t>
            </w:r>
            <w:r w:rsidR="003C3339">
              <w:t>3</w:t>
            </w:r>
            <w:r>
              <w:t xml:space="preserve"> %</w:t>
            </w:r>
          </w:p>
        </w:tc>
      </w:tr>
      <w:tr w:rsidR="00881030" w:rsidRPr="008F668F"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881030" w:rsidP="003C3339">
            <w:pPr>
              <w:pStyle w:val="Bezodstpw"/>
              <w:jc w:val="center"/>
              <w:rPr>
                <w:b/>
                <w:color w:val="FF0000"/>
              </w:rPr>
            </w:pPr>
            <w:r>
              <w:rPr>
                <w:b/>
                <w:color w:val="FF0000"/>
              </w:rPr>
              <w:t>-</w:t>
            </w:r>
            <w:r w:rsidR="003C3339">
              <w:rPr>
                <w:b/>
                <w:color w:val="FF0000"/>
              </w:rPr>
              <w:t>5</w:t>
            </w:r>
            <w:r>
              <w:rPr>
                <w:b/>
                <w:color w:val="FF0000"/>
              </w:rPr>
              <w:t>,</w:t>
            </w:r>
            <w:r w:rsidR="003C3339">
              <w:rPr>
                <w:b/>
                <w:color w:val="FF0000"/>
              </w:rPr>
              <w:t>3</w:t>
            </w:r>
            <w:r>
              <w:rPr>
                <w:b/>
                <w:color w:val="FF0000"/>
              </w:rPr>
              <w:t xml:space="preserve">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D165D7">
            <w:pPr>
              <w:pStyle w:val="Bezodstpw"/>
              <w:jc w:val="center"/>
            </w:pPr>
            <w:r>
              <w:t xml:space="preserve">2 497,38 pkt. </w:t>
            </w:r>
          </w:p>
        </w:tc>
        <w:tc>
          <w:tcPr>
            <w:tcW w:w="2303" w:type="dxa"/>
          </w:tcPr>
          <w:p w:rsidR="00881030" w:rsidRDefault="003C3339" w:rsidP="00D165D7">
            <w:pPr>
              <w:pStyle w:val="Bezodstpw"/>
              <w:jc w:val="center"/>
            </w:pPr>
            <w:r>
              <w:t>2 392,62 pkt.</w:t>
            </w:r>
          </w:p>
        </w:tc>
        <w:tc>
          <w:tcPr>
            <w:tcW w:w="1134" w:type="dxa"/>
          </w:tcPr>
          <w:p w:rsidR="00881030" w:rsidRDefault="00881030" w:rsidP="003C3339">
            <w:pPr>
              <w:pStyle w:val="Bezodstpw"/>
              <w:jc w:val="center"/>
            </w:pPr>
            <w:r>
              <w:t>-</w:t>
            </w:r>
            <w:r w:rsidR="003C3339">
              <w:t>4</w:t>
            </w:r>
            <w:r>
              <w:t>,</w:t>
            </w:r>
            <w:r w:rsidR="003C3339">
              <w:t>2</w:t>
            </w:r>
            <w:r>
              <w:t xml:space="preserve"> %</w:t>
            </w:r>
          </w:p>
        </w:tc>
      </w:tr>
    </w:tbl>
    <w:p w:rsidR="00881030" w:rsidRDefault="00881030" w:rsidP="00881030">
      <w:pPr>
        <w:pStyle w:val="Bezodstpw"/>
        <w:jc w:val="both"/>
      </w:pPr>
      <w:r>
        <w:lastRenderedPageBreak/>
        <w:t xml:space="preserve">Tabela: Procentowa zmiana ceny akcji spółki, której akcje zostały umieszczone 25 września na stronie internetowej </w:t>
      </w:r>
      <w:hyperlink r:id="rId25" w:history="1">
        <w:r w:rsidRPr="003C5ED1">
          <w:rPr>
            <w:rStyle w:val="Hipercze"/>
          </w:rPr>
          <w:t>www.analizy-rynkowe.pl</w:t>
        </w:r>
      </w:hyperlink>
      <w:r>
        <w:t xml:space="preserve"> w rubryce  ,,Wykres do przemyślenia” w okresie od 24 września do </w:t>
      </w:r>
      <w:r w:rsidR="00A1778F">
        <w:t>10</w:t>
      </w:r>
      <w:r>
        <w:t xml:space="preserve"> października 2014 roku oraz procentowa zmiana indeksu WIG 20 w tym okresie. </w:t>
      </w:r>
    </w:p>
    <w:p w:rsidR="00A133B3" w:rsidRDefault="00A133B3" w:rsidP="00881030">
      <w:pPr>
        <w:pStyle w:val="Bezodstpw"/>
        <w:jc w:val="both"/>
      </w:pP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D165D7">
            <w:pPr>
              <w:pStyle w:val="Bezodstpw"/>
              <w:jc w:val="center"/>
            </w:pPr>
            <w:r>
              <w:t>Poziom – 24.09.2014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Akcja spółki Capital Partners</w:t>
            </w:r>
          </w:p>
        </w:tc>
        <w:tc>
          <w:tcPr>
            <w:tcW w:w="2302" w:type="dxa"/>
          </w:tcPr>
          <w:p w:rsidR="00881030" w:rsidRDefault="00881030" w:rsidP="00D165D7">
            <w:pPr>
              <w:pStyle w:val="Bezodstpw"/>
              <w:jc w:val="center"/>
            </w:pPr>
            <w:r>
              <w:t>1,85 zł.</w:t>
            </w:r>
          </w:p>
        </w:tc>
        <w:tc>
          <w:tcPr>
            <w:tcW w:w="2303" w:type="dxa"/>
          </w:tcPr>
          <w:p w:rsidR="00881030" w:rsidRDefault="003C3339" w:rsidP="00D165D7">
            <w:pPr>
              <w:pStyle w:val="Bezodstpw"/>
              <w:jc w:val="center"/>
            </w:pPr>
            <w:r>
              <w:t>1,90 zł.</w:t>
            </w:r>
          </w:p>
        </w:tc>
        <w:tc>
          <w:tcPr>
            <w:tcW w:w="1134" w:type="dxa"/>
          </w:tcPr>
          <w:p w:rsidR="00881030" w:rsidRDefault="00881030" w:rsidP="00D165D7">
            <w:pPr>
              <w:pStyle w:val="Bezodstpw"/>
              <w:jc w:val="center"/>
            </w:pPr>
            <w:r>
              <w:t>+2,7 %</w:t>
            </w:r>
          </w:p>
        </w:tc>
      </w:tr>
      <w:tr w:rsidR="00881030" w:rsidRPr="008F668F"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881030" w:rsidP="00D165D7">
            <w:pPr>
              <w:pStyle w:val="Bezodstpw"/>
              <w:jc w:val="center"/>
              <w:rPr>
                <w:b/>
                <w:color w:val="FF0000"/>
              </w:rPr>
            </w:pPr>
            <w:r>
              <w:rPr>
                <w:b/>
                <w:color w:val="FF0000"/>
              </w:rPr>
              <w:t>+2,7 %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D165D7">
            <w:pPr>
              <w:pStyle w:val="Bezodstpw"/>
              <w:jc w:val="center"/>
            </w:pPr>
            <w:r>
              <w:t xml:space="preserve">2 489,77 pkt. </w:t>
            </w:r>
          </w:p>
        </w:tc>
        <w:tc>
          <w:tcPr>
            <w:tcW w:w="2303" w:type="dxa"/>
          </w:tcPr>
          <w:p w:rsidR="00881030" w:rsidRDefault="003C3339" w:rsidP="00D165D7">
            <w:pPr>
              <w:pStyle w:val="Bezodstpw"/>
              <w:jc w:val="center"/>
            </w:pPr>
            <w:r>
              <w:t>2 392,62 pkt.</w:t>
            </w:r>
          </w:p>
        </w:tc>
        <w:tc>
          <w:tcPr>
            <w:tcW w:w="1134" w:type="dxa"/>
          </w:tcPr>
          <w:p w:rsidR="00881030" w:rsidRDefault="00881030" w:rsidP="003C3339">
            <w:pPr>
              <w:pStyle w:val="Bezodstpw"/>
              <w:jc w:val="center"/>
            </w:pPr>
            <w:r>
              <w:t>-</w:t>
            </w:r>
            <w:r w:rsidR="003C3339">
              <w:t>3</w:t>
            </w:r>
            <w:r>
              <w:t>,</w:t>
            </w:r>
            <w:r w:rsidR="003C3339">
              <w:t>9</w:t>
            </w:r>
            <w:r>
              <w:t xml:space="preserve"> %</w:t>
            </w:r>
          </w:p>
        </w:tc>
      </w:tr>
    </w:tbl>
    <w:p w:rsidR="00881030" w:rsidRDefault="00881030" w:rsidP="00881030">
      <w:pPr>
        <w:pStyle w:val="Bezodstpw"/>
        <w:jc w:val="both"/>
      </w:pPr>
    </w:p>
    <w:p w:rsidR="00881030" w:rsidRDefault="00881030" w:rsidP="00881030">
      <w:pPr>
        <w:pStyle w:val="Bezodstpw"/>
        <w:jc w:val="both"/>
      </w:pPr>
      <w:r>
        <w:t xml:space="preserve">Tabela: Procentowa zmiana cen akcji trzech spółek, których akcje zostały wymienione w czwartym numerze ,,Raportu Tygodniowego” z </w:t>
      </w:r>
      <w:r w:rsidR="003C3339">
        <w:t>29</w:t>
      </w:r>
      <w:r>
        <w:t xml:space="preserve"> września 2014 roku w rubryce ,,Wykres do przemyślenia” w okresie od 26 września do </w:t>
      </w:r>
      <w:r w:rsidR="00542E55">
        <w:t>10</w:t>
      </w:r>
      <w:r>
        <w:t xml:space="preserve"> października 2014 roku oraz procentowa zmiana indeksu WIG 20 w tym okresie. </w:t>
      </w: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542E55">
            <w:pPr>
              <w:pStyle w:val="Bezodstpw"/>
              <w:jc w:val="center"/>
            </w:pPr>
            <w:r>
              <w:t xml:space="preserve">Poziom – </w:t>
            </w:r>
            <w:r w:rsidR="00542E55">
              <w:t>26</w:t>
            </w:r>
            <w:r>
              <w:t>.09.2014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D165D7">
            <w:pPr>
              <w:pStyle w:val="Bezodstpw"/>
              <w:jc w:val="center"/>
            </w:pPr>
            <w:r>
              <w:t xml:space="preserve">Akcja spółki </w:t>
            </w:r>
            <w:proofErr w:type="spellStart"/>
            <w:r>
              <w:t>Asseco</w:t>
            </w:r>
            <w:proofErr w:type="spellEnd"/>
            <w:r>
              <w:t xml:space="preserve"> Poland </w:t>
            </w:r>
          </w:p>
        </w:tc>
        <w:tc>
          <w:tcPr>
            <w:tcW w:w="2302" w:type="dxa"/>
          </w:tcPr>
          <w:p w:rsidR="00881030" w:rsidRDefault="00881030" w:rsidP="00D165D7">
            <w:pPr>
              <w:pStyle w:val="Bezodstpw"/>
              <w:jc w:val="center"/>
            </w:pPr>
            <w:r>
              <w:t xml:space="preserve">45,64 zł. </w:t>
            </w:r>
          </w:p>
        </w:tc>
        <w:tc>
          <w:tcPr>
            <w:tcW w:w="2303" w:type="dxa"/>
          </w:tcPr>
          <w:p w:rsidR="00881030" w:rsidRDefault="005A640E" w:rsidP="00D165D7">
            <w:pPr>
              <w:pStyle w:val="Bezodstpw"/>
              <w:jc w:val="center"/>
            </w:pPr>
            <w:r>
              <w:t>43,70 zł.</w:t>
            </w:r>
          </w:p>
        </w:tc>
        <w:tc>
          <w:tcPr>
            <w:tcW w:w="1134" w:type="dxa"/>
          </w:tcPr>
          <w:p w:rsidR="00881030" w:rsidRDefault="005A640E" w:rsidP="005A640E">
            <w:pPr>
              <w:pStyle w:val="Bezodstpw"/>
              <w:jc w:val="center"/>
            </w:pPr>
            <w:r>
              <w:t>-4</w:t>
            </w:r>
            <w:r w:rsidR="00881030">
              <w:t>,</w:t>
            </w:r>
            <w:r>
              <w:t>3</w:t>
            </w:r>
            <w:r w:rsidR="00881030">
              <w:t xml:space="preserve"> %</w:t>
            </w:r>
          </w:p>
        </w:tc>
      </w:tr>
      <w:tr w:rsidR="00881030" w:rsidTr="00D165D7">
        <w:tc>
          <w:tcPr>
            <w:tcW w:w="3402" w:type="dxa"/>
          </w:tcPr>
          <w:p w:rsidR="00881030" w:rsidRDefault="00881030" w:rsidP="00D165D7">
            <w:pPr>
              <w:pStyle w:val="Bezodstpw"/>
              <w:jc w:val="center"/>
            </w:pPr>
            <w:r>
              <w:t>Akcja spółki  CD Projekt</w:t>
            </w:r>
          </w:p>
        </w:tc>
        <w:tc>
          <w:tcPr>
            <w:tcW w:w="2302" w:type="dxa"/>
          </w:tcPr>
          <w:p w:rsidR="00881030" w:rsidRDefault="00881030" w:rsidP="00D165D7">
            <w:pPr>
              <w:pStyle w:val="Bezodstpw"/>
              <w:jc w:val="center"/>
            </w:pPr>
            <w:r>
              <w:t xml:space="preserve">16,59 zł. </w:t>
            </w:r>
          </w:p>
        </w:tc>
        <w:tc>
          <w:tcPr>
            <w:tcW w:w="2303" w:type="dxa"/>
          </w:tcPr>
          <w:p w:rsidR="00881030" w:rsidRDefault="005A640E" w:rsidP="00D165D7">
            <w:pPr>
              <w:pStyle w:val="Bezodstpw"/>
              <w:jc w:val="center"/>
            </w:pPr>
            <w:r>
              <w:t>16,40 zł.</w:t>
            </w:r>
          </w:p>
        </w:tc>
        <w:tc>
          <w:tcPr>
            <w:tcW w:w="1134" w:type="dxa"/>
          </w:tcPr>
          <w:p w:rsidR="00881030" w:rsidRDefault="005A640E" w:rsidP="005A640E">
            <w:pPr>
              <w:pStyle w:val="Bezodstpw"/>
              <w:jc w:val="center"/>
            </w:pPr>
            <w:r>
              <w:t>-1</w:t>
            </w:r>
            <w:r w:rsidR="00881030">
              <w:t>,</w:t>
            </w:r>
            <w:r>
              <w:t>1</w:t>
            </w:r>
            <w:r w:rsidR="00881030">
              <w:t xml:space="preserve"> %</w:t>
            </w:r>
          </w:p>
        </w:tc>
      </w:tr>
      <w:tr w:rsidR="00881030" w:rsidTr="00D165D7">
        <w:tc>
          <w:tcPr>
            <w:tcW w:w="3402" w:type="dxa"/>
          </w:tcPr>
          <w:p w:rsidR="00881030" w:rsidRDefault="00881030" w:rsidP="00D165D7">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881030" w:rsidRDefault="00881030" w:rsidP="00D165D7">
            <w:pPr>
              <w:pStyle w:val="Bezodstpw"/>
              <w:jc w:val="center"/>
            </w:pPr>
            <w:r>
              <w:t>17,60 zł.</w:t>
            </w:r>
          </w:p>
        </w:tc>
        <w:tc>
          <w:tcPr>
            <w:tcW w:w="2303" w:type="dxa"/>
            <w:tcBorders>
              <w:bottom w:val="single" w:sz="4" w:space="0" w:color="auto"/>
            </w:tcBorders>
          </w:tcPr>
          <w:p w:rsidR="00881030" w:rsidRDefault="005A640E" w:rsidP="00D165D7">
            <w:pPr>
              <w:pStyle w:val="Bezodstpw"/>
              <w:jc w:val="center"/>
            </w:pPr>
            <w:r>
              <w:t xml:space="preserve">16,88 </w:t>
            </w:r>
            <w:proofErr w:type="spellStart"/>
            <w:r>
              <w:t>zl</w:t>
            </w:r>
            <w:proofErr w:type="spellEnd"/>
            <w:r>
              <w:t>.</w:t>
            </w:r>
          </w:p>
        </w:tc>
        <w:tc>
          <w:tcPr>
            <w:tcW w:w="1134" w:type="dxa"/>
          </w:tcPr>
          <w:p w:rsidR="00881030" w:rsidRDefault="005A640E" w:rsidP="005A640E">
            <w:pPr>
              <w:pStyle w:val="Bezodstpw"/>
              <w:jc w:val="center"/>
            </w:pPr>
            <w:r>
              <w:t>-4</w:t>
            </w:r>
            <w:r w:rsidR="00881030">
              <w:t>,</w:t>
            </w:r>
            <w:r>
              <w:t>1</w:t>
            </w:r>
            <w:r w:rsidR="00881030">
              <w:t xml:space="preserve"> %</w:t>
            </w:r>
          </w:p>
        </w:tc>
      </w:tr>
      <w:tr w:rsidR="00881030"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5A640E" w:rsidP="005A640E">
            <w:pPr>
              <w:pStyle w:val="Bezodstpw"/>
              <w:jc w:val="center"/>
              <w:rPr>
                <w:b/>
                <w:color w:val="FF0000"/>
              </w:rPr>
            </w:pPr>
            <w:r>
              <w:rPr>
                <w:b/>
                <w:color w:val="FF0000"/>
              </w:rPr>
              <w:t>-3</w:t>
            </w:r>
            <w:r w:rsidR="00881030">
              <w:rPr>
                <w:b/>
                <w:color w:val="FF0000"/>
              </w:rPr>
              <w:t>,</w:t>
            </w:r>
            <w:r>
              <w:rPr>
                <w:b/>
                <w:color w:val="FF0000"/>
              </w:rPr>
              <w:t>2</w:t>
            </w:r>
            <w:r w:rsidR="00881030">
              <w:rPr>
                <w:b/>
                <w:color w:val="FF0000"/>
              </w:rPr>
              <w:t xml:space="preserve">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5A640E">
            <w:pPr>
              <w:pStyle w:val="Bezodstpw"/>
              <w:jc w:val="center"/>
            </w:pPr>
            <w:r>
              <w:t>2</w:t>
            </w:r>
            <w:r w:rsidR="005A640E">
              <w:t>484,02</w:t>
            </w:r>
            <w:r>
              <w:t xml:space="preserve"> pkt. </w:t>
            </w:r>
          </w:p>
        </w:tc>
        <w:tc>
          <w:tcPr>
            <w:tcW w:w="2303" w:type="dxa"/>
          </w:tcPr>
          <w:p w:rsidR="00881030" w:rsidRDefault="003C3339" w:rsidP="00D165D7">
            <w:pPr>
              <w:pStyle w:val="Bezodstpw"/>
              <w:jc w:val="center"/>
            </w:pPr>
            <w:r>
              <w:t>2 392,62 pkt.</w:t>
            </w:r>
          </w:p>
        </w:tc>
        <w:tc>
          <w:tcPr>
            <w:tcW w:w="1134" w:type="dxa"/>
          </w:tcPr>
          <w:p w:rsidR="00881030" w:rsidRDefault="00881030" w:rsidP="005A640E">
            <w:pPr>
              <w:pStyle w:val="Bezodstpw"/>
              <w:jc w:val="center"/>
            </w:pPr>
            <w:r>
              <w:t>-3,</w:t>
            </w:r>
            <w:r w:rsidR="005A640E">
              <w:t>7</w:t>
            </w:r>
            <w:r>
              <w:t xml:space="preserve"> %</w:t>
            </w:r>
          </w:p>
        </w:tc>
      </w:tr>
    </w:tbl>
    <w:p w:rsidR="00881030" w:rsidRDefault="00881030" w:rsidP="00881030">
      <w:pPr>
        <w:pStyle w:val="Bezodstpw"/>
        <w:jc w:val="both"/>
      </w:pPr>
    </w:p>
    <w:p w:rsidR="00881030" w:rsidRDefault="00A1778F" w:rsidP="00881030">
      <w:pPr>
        <w:pStyle w:val="Bezodstpw"/>
        <w:jc w:val="both"/>
      </w:pPr>
      <w:r>
        <w:t xml:space="preserve">Procentowa zmiana ceny akcji spółki, której akcje zostały wymienione w piątym numerze </w:t>
      </w:r>
      <w:r w:rsidR="00881030">
        <w:t xml:space="preserve">,,Raportu Tygodniowego” z 6 października 2014 roku w rubryce ,,Wykres do przemyślenia” w okresie od 3 do 10 października 2014 roku oraz procentowa zmiana indeksu WIG 20 w tym okresie. </w:t>
      </w:r>
    </w:p>
    <w:p w:rsidR="00A133B3" w:rsidRDefault="00A133B3" w:rsidP="00881030">
      <w:pPr>
        <w:pStyle w:val="Bezodstpw"/>
        <w:jc w:val="both"/>
      </w:pPr>
    </w:p>
    <w:tbl>
      <w:tblPr>
        <w:tblStyle w:val="Tabela-Siatka"/>
        <w:tblW w:w="0" w:type="auto"/>
        <w:tblLook w:val="04A0"/>
      </w:tblPr>
      <w:tblGrid>
        <w:gridCol w:w="3402"/>
        <w:gridCol w:w="2302"/>
        <w:gridCol w:w="2303"/>
        <w:gridCol w:w="1134"/>
      </w:tblGrid>
      <w:tr w:rsidR="00881030" w:rsidTr="00D165D7">
        <w:tc>
          <w:tcPr>
            <w:tcW w:w="3402" w:type="dxa"/>
          </w:tcPr>
          <w:p w:rsidR="00881030" w:rsidRDefault="00881030" w:rsidP="00D165D7">
            <w:pPr>
              <w:pStyle w:val="Bezodstpw"/>
              <w:jc w:val="center"/>
            </w:pPr>
            <w:r>
              <w:t>Instrument finansowy</w:t>
            </w:r>
          </w:p>
        </w:tc>
        <w:tc>
          <w:tcPr>
            <w:tcW w:w="2302" w:type="dxa"/>
          </w:tcPr>
          <w:p w:rsidR="00881030" w:rsidRDefault="00881030" w:rsidP="0023792F">
            <w:pPr>
              <w:pStyle w:val="Bezodstpw"/>
              <w:jc w:val="center"/>
            </w:pPr>
            <w:r>
              <w:t xml:space="preserve">Poziom – </w:t>
            </w:r>
            <w:r w:rsidR="0023792F">
              <w:t>03</w:t>
            </w:r>
            <w:r>
              <w:t>.</w:t>
            </w:r>
            <w:r w:rsidR="0023792F">
              <w:t>10</w:t>
            </w:r>
            <w:r>
              <w:t>.2014</w:t>
            </w:r>
          </w:p>
        </w:tc>
        <w:tc>
          <w:tcPr>
            <w:tcW w:w="2303" w:type="dxa"/>
          </w:tcPr>
          <w:p w:rsidR="00881030" w:rsidRDefault="00881030" w:rsidP="007B074E">
            <w:pPr>
              <w:pStyle w:val="Bezodstpw"/>
              <w:jc w:val="center"/>
            </w:pPr>
            <w:r>
              <w:t xml:space="preserve">Poziom – </w:t>
            </w:r>
            <w:r w:rsidR="007B074E">
              <w:t>10</w:t>
            </w:r>
            <w:r>
              <w:t>.10.2014</w:t>
            </w:r>
          </w:p>
        </w:tc>
        <w:tc>
          <w:tcPr>
            <w:tcW w:w="1134" w:type="dxa"/>
          </w:tcPr>
          <w:p w:rsidR="00881030" w:rsidRDefault="00881030" w:rsidP="00D165D7">
            <w:pPr>
              <w:pStyle w:val="Bezodstpw"/>
              <w:jc w:val="center"/>
            </w:pPr>
            <w:r>
              <w:t>Zmiana (w %)</w:t>
            </w:r>
          </w:p>
        </w:tc>
      </w:tr>
      <w:tr w:rsidR="00881030" w:rsidTr="00D165D7">
        <w:tc>
          <w:tcPr>
            <w:tcW w:w="3402" w:type="dxa"/>
          </w:tcPr>
          <w:p w:rsidR="00881030" w:rsidRDefault="00881030" w:rsidP="0023792F">
            <w:pPr>
              <w:pStyle w:val="Bezodstpw"/>
              <w:jc w:val="center"/>
            </w:pPr>
            <w:r>
              <w:t xml:space="preserve">Akcja spółki </w:t>
            </w:r>
            <w:r w:rsidR="0023792F">
              <w:t>Stalprodukt</w:t>
            </w:r>
          </w:p>
        </w:tc>
        <w:tc>
          <w:tcPr>
            <w:tcW w:w="2302" w:type="dxa"/>
          </w:tcPr>
          <w:p w:rsidR="00881030" w:rsidRDefault="0023792F" w:rsidP="0023792F">
            <w:pPr>
              <w:pStyle w:val="Bezodstpw"/>
              <w:jc w:val="center"/>
            </w:pPr>
            <w:r>
              <w:t>244,10</w:t>
            </w:r>
            <w:r w:rsidR="00881030">
              <w:t xml:space="preserve"> zł.</w:t>
            </w:r>
          </w:p>
        </w:tc>
        <w:tc>
          <w:tcPr>
            <w:tcW w:w="2303" w:type="dxa"/>
          </w:tcPr>
          <w:p w:rsidR="00881030" w:rsidRDefault="0023792F" w:rsidP="00D165D7">
            <w:pPr>
              <w:pStyle w:val="Bezodstpw"/>
              <w:jc w:val="center"/>
            </w:pPr>
            <w:r>
              <w:t>238,50 zł.</w:t>
            </w:r>
          </w:p>
        </w:tc>
        <w:tc>
          <w:tcPr>
            <w:tcW w:w="1134" w:type="dxa"/>
          </w:tcPr>
          <w:p w:rsidR="00881030" w:rsidRDefault="00881030" w:rsidP="0023792F">
            <w:pPr>
              <w:pStyle w:val="Bezodstpw"/>
              <w:jc w:val="center"/>
            </w:pPr>
            <w:r>
              <w:t>-2,</w:t>
            </w:r>
            <w:r w:rsidR="0023792F">
              <w:t>3</w:t>
            </w:r>
            <w:r>
              <w:t xml:space="preserve"> %</w:t>
            </w:r>
          </w:p>
        </w:tc>
      </w:tr>
      <w:tr w:rsidR="00881030" w:rsidRPr="008F668F" w:rsidTr="00D165D7">
        <w:tc>
          <w:tcPr>
            <w:tcW w:w="3402" w:type="dxa"/>
          </w:tcPr>
          <w:p w:rsidR="00881030" w:rsidRPr="008F668F" w:rsidRDefault="00881030" w:rsidP="00D165D7">
            <w:pPr>
              <w:pStyle w:val="Bezodstpw"/>
              <w:jc w:val="center"/>
              <w:rPr>
                <w:b/>
                <w:color w:val="FF0000"/>
              </w:rPr>
            </w:pPr>
            <w:r w:rsidRPr="008F668F">
              <w:rPr>
                <w:b/>
                <w:color w:val="FF0000"/>
              </w:rPr>
              <w:t>Średnio</w:t>
            </w:r>
          </w:p>
        </w:tc>
        <w:tc>
          <w:tcPr>
            <w:tcW w:w="2302" w:type="dxa"/>
            <w:tcBorders>
              <w:right w:val="nil"/>
            </w:tcBorders>
          </w:tcPr>
          <w:p w:rsidR="00881030" w:rsidRPr="008F668F" w:rsidRDefault="00881030" w:rsidP="00D165D7">
            <w:pPr>
              <w:pStyle w:val="Bezodstpw"/>
              <w:jc w:val="center"/>
              <w:rPr>
                <w:b/>
                <w:color w:val="FF0000"/>
              </w:rPr>
            </w:pPr>
          </w:p>
        </w:tc>
        <w:tc>
          <w:tcPr>
            <w:tcW w:w="2303" w:type="dxa"/>
            <w:tcBorders>
              <w:left w:val="nil"/>
            </w:tcBorders>
          </w:tcPr>
          <w:p w:rsidR="00881030" w:rsidRPr="008F668F" w:rsidRDefault="00881030" w:rsidP="00D165D7">
            <w:pPr>
              <w:pStyle w:val="Bezodstpw"/>
              <w:jc w:val="center"/>
              <w:rPr>
                <w:b/>
                <w:color w:val="FF0000"/>
              </w:rPr>
            </w:pPr>
          </w:p>
        </w:tc>
        <w:tc>
          <w:tcPr>
            <w:tcW w:w="1134" w:type="dxa"/>
          </w:tcPr>
          <w:p w:rsidR="00881030" w:rsidRPr="008F668F" w:rsidRDefault="00881030" w:rsidP="0023792F">
            <w:pPr>
              <w:pStyle w:val="Bezodstpw"/>
              <w:jc w:val="center"/>
              <w:rPr>
                <w:b/>
                <w:color w:val="FF0000"/>
              </w:rPr>
            </w:pPr>
            <w:r>
              <w:rPr>
                <w:b/>
                <w:color w:val="FF0000"/>
              </w:rPr>
              <w:t>-2,</w:t>
            </w:r>
            <w:r w:rsidR="0023792F">
              <w:rPr>
                <w:b/>
                <w:color w:val="FF0000"/>
              </w:rPr>
              <w:t>3</w:t>
            </w:r>
            <w:r>
              <w:rPr>
                <w:b/>
                <w:color w:val="FF0000"/>
              </w:rPr>
              <w:t xml:space="preserve"> %</w:t>
            </w:r>
          </w:p>
        </w:tc>
      </w:tr>
      <w:tr w:rsidR="00881030" w:rsidTr="00D165D7">
        <w:tc>
          <w:tcPr>
            <w:tcW w:w="3402" w:type="dxa"/>
          </w:tcPr>
          <w:p w:rsidR="00881030" w:rsidRDefault="00881030" w:rsidP="00D165D7">
            <w:pPr>
              <w:pStyle w:val="Bezodstpw"/>
              <w:jc w:val="center"/>
            </w:pPr>
            <w:r>
              <w:t>WIG 20</w:t>
            </w:r>
          </w:p>
        </w:tc>
        <w:tc>
          <w:tcPr>
            <w:tcW w:w="2302" w:type="dxa"/>
          </w:tcPr>
          <w:p w:rsidR="00881030" w:rsidRDefault="00881030" w:rsidP="0023792F">
            <w:pPr>
              <w:pStyle w:val="Bezodstpw"/>
              <w:jc w:val="center"/>
            </w:pPr>
            <w:r>
              <w:t>2 4</w:t>
            </w:r>
            <w:r w:rsidR="0023792F">
              <w:t>44</w:t>
            </w:r>
            <w:r>
              <w:t>,</w:t>
            </w:r>
            <w:r w:rsidR="0023792F">
              <w:t>06</w:t>
            </w:r>
            <w:r>
              <w:t xml:space="preserve"> pkt. </w:t>
            </w:r>
          </w:p>
        </w:tc>
        <w:tc>
          <w:tcPr>
            <w:tcW w:w="2303" w:type="dxa"/>
          </w:tcPr>
          <w:p w:rsidR="00881030" w:rsidRDefault="00881030" w:rsidP="00D165D7">
            <w:pPr>
              <w:pStyle w:val="Bezodstpw"/>
              <w:jc w:val="center"/>
            </w:pPr>
          </w:p>
        </w:tc>
        <w:tc>
          <w:tcPr>
            <w:tcW w:w="1134" w:type="dxa"/>
          </w:tcPr>
          <w:p w:rsidR="00881030" w:rsidRDefault="00881030" w:rsidP="00D165D7">
            <w:pPr>
              <w:pStyle w:val="Bezodstpw"/>
              <w:jc w:val="center"/>
            </w:pPr>
            <w:r>
              <w:t>-2,1 %</w:t>
            </w:r>
          </w:p>
        </w:tc>
      </w:tr>
    </w:tbl>
    <w:p w:rsidR="00DE1A5D" w:rsidRDefault="00DE1A5D" w:rsidP="00561D74">
      <w:pPr>
        <w:pStyle w:val="Bezodstpw"/>
        <w:jc w:val="both"/>
        <w:rPr>
          <w:b/>
          <w:color w:val="FF0000"/>
        </w:rPr>
      </w:pPr>
    </w:p>
    <w:p w:rsidR="00A133B3" w:rsidRDefault="00A8460C" w:rsidP="00A8460C">
      <w:pPr>
        <w:pStyle w:val="Bezodstpw"/>
        <w:jc w:val="both"/>
      </w:pPr>
      <w:r>
        <w:t xml:space="preserve">Warto zauważyć, że spośród 12 spółek, których akcje zakwalifikowane zostały do rubryki ,,Wykres do przemyślenia” (gdyż wybiły się już z formacji podwójnego dna) kursy akcji 8 spółek od momentu owego zakwalifikowania do tej rubryki do dnia </w:t>
      </w:r>
      <w:r w:rsidR="00A1778F">
        <w:t>10</w:t>
      </w:r>
      <w:r>
        <w:t xml:space="preserve"> października 2014 roku zachowywały się lepiej od indeksu WIG20, a 4 gorzej. </w:t>
      </w:r>
      <w:r w:rsidR="00A133B3">
        <w:t xml:space="preserve">To pokazuje, że kursy akcji po wybiciu z formacji podwójnego zazwyczaj zachowywały się relatywnie mocno (szczególnie Rafako oraz </w:t>
      </w:r>
      <w:proofErr w:type="spellStart"/>
      <w:r w:rsidR="00A133B3">
        <w:t>Immobile</w:t>
      </w:r>
      <w:proofErr w:type="spellEnd"/>
      <w:r w:rsidR="00A133B3">
        <w:t>), aczkolwiek były przykłady relatywnej słabości</w:t>
      </w:r>
      <w:r w:rsidR="00650D9B">
        <w:t xml:space="preserve"> (szczególnie CD Projekt) </w:t>
      </w:r>
    </w:p>
    <w:p w:rsidR="00A133B3" w:rsidRDefault="00A133B3" w:rsidP="00A8460C">
      <w:pPr>
        <w:pStyle w:val="Bezodstpw"/>
        <w:jc w:val="both"/>
      </w:pPr>
    </w:p>
    <w:p w:rsidR="00A133B3" w:rsidRPr="002D2D4D" w:rsidRDefault="00A133B3" w:rsidP="00A133B3">
      <w:pPr>
        <w:pStyle w:val="Bezodstpw"/>
        <w:pBdr>
          <w:top w:val="single" w:sz="4" w:space="1" w:color="auto"/>
          <w:left w:val="single" w:sz="4" w:space="4" w:color="auto"/>
          <w:bottom w:val="single" w:sz="4" w:space="1" w:color="auto"/>
          <w:right w:val="single" w:sz="4" w:space="4" w:color="auto"/>
        </w:pBdr>
        <w:jc w:val="center"/>
      </w:pPr>
      <w:r w:rsidRPr="002D2D4D">
        <w:t>Poczekalnia</w:t>
      </w:r>
    </w:p>
    <w:p w:rsidR="00A133B3" w:rsidRDefault="00A133B3" w:rsidP="00A133B3">
      <w:pPr>
        <w:pStyle w:val="Bezodstpw"/>
        <w:jc w:val="both"/>
        <w:rPr>
          <w:b/>
        </w:rPr>
      </w:pPr>
    </w:p>
    <w:p w:rsidR="00A133B3" w:rsidRDefault="00A133B3" w:rsidP="00A133B3">
      <w:pPr>
        <w:pStyle w:val="Bezodstpw"/>
        <w:jc w:val="both"/>
      </w:pPr>
      <w:r>
        <w:t xml:space="preserve">Należy też przypomnieć, że 15 września wprowadzona została rubryka ,,Poczekalnia”, do której kwalifikowane spółki, których akcje nie wybiły się jeszcze z podwójnego dna, ale są tego bliskie. </w:t>
      </w:r>
    </w:p>
    <w:p w:rsidR="00A133B3" w:rsidRDefault="00A133B3" w:rsidP="00A133B3">
      <w:pPr>
        <w:pStyle w:val="Bezodstpw"/>
        <w:jc w:val="both"/>
      </w:pPr>
    </w:p>
    <w:p w:rsidR="00A133B3" w:rsidRDefault="00A133B3" w:rsidP="00A133B3">
      <w:pPr>
        <w:pStyle w:val="Bezodstpw"/>
        <w:jc w:val="both"/>
      </w:pPr>
      <w:r>
        <w:t xml:space="preserve">Dotychczas do tej kategorii kwalifikowane były 3 spółki – Capital Partners, Relpol oraz </w:t>
      </w:r>
      <w:proofErr w:type="spellStart"/>
      <w:r>
        <w:t>Elektrotim</w:t>
      </w:r>
      <w:proofErr w:type="spellEnd"/>
      <w:r>
        <w:t>. Warto zauważyć, że akcje Capital Partners przeszły już do rubryki ,,Wykres do przemyślenia”.</w:t>
      </w:r>
      <w:r w:rsidRPr="002D2D4D">
        <w:rPr>
          <w:b/>
        </w:rPr>
        <w:t xml:space="preserve"> Relpol oraz </w:t>
      </w:r>
      <w:proofErr w:type="spellStart"/>
      <w:r w:rsidRPr="002D2D4D">
        <w:rPr>
          <w:b/>
        </w:rPr>
        <w:t>Elektrotim</w:t>
      </w:r>
      <w:proofErr w:type="spellEnd"/>
      <w:r>
        <w:t xml:space="preserve"> nadal znajdują się w ,,poczekalni”. </w:t>
      </w:r>
    </w:p>
    <w:p w:rsidR="00A133B3" w:rsidRDefault="00A133B3" w:rsidP="00A133B3">
      <w:pPr>
        <w:pStyle w:val="Bezodstpw"/>
        <w:jc w:val="both"/>
        <w:rPr>
          <w:b/>
        </w:rPr>
      </w:pPr>
    </w:p>
    <w:p w:rsidR="00A133B3" w:rsidRDefault="00A133B3" w:rsidP="00A133B3">
      <w:pPr>
        <w:pStyle w:val="Bezodstpw"/>
        <w:jc w:val="both"/>
      </w:pPr>
      <w:r w:rsidRPr="00646F30">
        <w:t xml:space="preserve">Nazwa ,,Poczekalnia” wzięła się stąd, że </w:t>
      </w:r>
      <w:r>
        <w:t xml:space="preserve">podobne jak pasażerowie oczekują nas swój pociąg (sprzedaż akcji można w takim kontekście porównać do opuszczenia pociągu) tak też spółki oczekują na to, aby zostać wprowadzone do rubryki ,,Wykres do przemyślenia”. </w:t>
      </w:r>
    </w:p>
    <w:p w:rsidR="0072489F" w:rsidRDefault="0072489F" w:rsidP="0072489F">
      <w:pPr>
        <w:pStyle w:val="Bezodstpw"/>
        <w:pBdr>
          <w:top w:val="single" w:sz="4" w:space="1" w:color="auto"/>
          <w:left w:val="single" w:sz="4" w:space="4" w:color="auto"/>
          <w:bottom w:val="single" w:sz="4" w:space="1" w:color="auto"/>
          <w:right w:val="single" w:sz="4" w:space="4" w:color="auto"/>
        </w:pBdr>
        <w:jc w:val="center"/>
      </w:pPr>
      <w:r>
        <w:lastRenderedPageBreak/>
        <w:t>Ciekawostka techniczna…</w:t>
      </w:r>
    </w:p>
    <w:p w:rsidR="0072489F" w:rsidRDefault="0072489F" w:rsidP="0072489F">
      <w:pPr>
        <w:pStyle w:val="Bezodstpw"/>
        <w:jc w:val="both"/>
      </w:pPr>
    </w:p>
    <w:p w:rsidR="0072489F" w:rsidRDefault="0072489F" w:rsidP="0072489F">
      <w:pPr>
        <w:pStyle w:val="Bezodstpw"/>
        <w:jc w:val="both"/>
      </w:pPr>
      <w:r>
        <w:t xml:space="preserve">W toku dotychczasowych rozważań wskazałem na </w:t>
      </w:r>
    </w:p>
    <w:p w:rsidR="0072489F" w:rsidRDefault="0072489F" w:rsidP="0072489F">
      <w:pPr>
        <w:pStyle w:val="Bezodstpw"/>
        <w:jc w:val="both"/>
      </w:pPr>
    </w:p>
    <w:p w:rsidR="0072489F" w:rsidRDefault="0072489F" w:rsidP="0072489F">
      <w:pPr>
        <w:pStyle w:val="Bezodstpw"/>
        <w:jc w:val="both"/>
      </w:pPr>
      <w:r w:rsidRPr="0072489F">
        <w:rPr>
          <w:b/>
          <w:u w:val="single"/>
        </w:rPr>
        <w:t>Z jednej strony</w:t>
      </w:r>
      <w:r>
        <w:t xml:space="preserve">: relatywną siłę indeksu WIG 20 na tle indeksów wielu rynków dojrzałych, gdyż np. o ile WIG 20 wciąż utrzymuje się na poziomie wyższym  od istotnego dołka ustanowionego 8 sierpnia, o tyle w przypadku wielu z indeksów rynków dojrzałych doszło już do spadku poniżej tego dołka </w:t>
      </w:r>
    </w:p>
    <w:p w:rsidR="0072489F" w:rsidRDefault="0072489F" w:rsidP="0072489F">
      <w:pPr>
        <w:pStyle w:val="Bezodstpw"/>
        <w:jc w:val="both"/>
      </w:pPr>
    </w:p>
    <w:p w:rsidR="0072489F" w:rsidRDefault="0072489F" w:rsidP="0072489F">
      <w:pPr>
        <w:pStyle w:val="Bezodstpw"/>
        <w:jc w:val="both"/>
      </w:pPr>
      <w:r w:rsidRPr="0072489F">
        <w:rPr>
          <w:b/>
          <w:u w:val="single"/>
        </w:rPr>
        <w:t>Z drugiej strony</w:t>
      </w:r>
      <w:r>
        <w:t>: relatywną słabość np. indeksu Russel 2000, na którego wykresie doszło do wybicia z podwójnego szczytu</w:t>
      </w:r>
    </w:p>
    <w:p w:rsidR="0072489F" w:rsidRDefault="0072489F" w:rsidP="0072489F">
      <w:pPr>
        <w:pStyle w:val="Bezodstpw"/>
        <w:jc w:val="both"/>
      </w:pPr>
    </w:p>
    <w:p w:rsidR="0072489F" w:rsidRDefault="0072489F" w:rsidP="0072489F">
      <w:pPr>
        <w:pStyle w:val="Bezodstpw"/>
        <w:jc w:val="both"/>
      </w:pPr>
      <w:r>
        <w:t>W tym kontekście warto obejrzeć wykres siły względnej WIG 20 / Russel 2000</w:t>
      </w:r>
    </w:p>
    <w:p w:rsidR="0072489F" w:rsidRDefault="0072489F" w:rsidP="0072489F">
      <w:pPr>
        <w:pStyle w:val="Bezodstpw"/>
        <w:jc w:val="both"/>
      </w:pPr>
    </w:p>
    <w:p w:rsidR="0072489F" w:rsidRDefault="0072489F" w:rsidP="0072489F">
      <w:pPr>
        <w:pStyle w:val="Bezodstpw"/>
        <w:jc w:val="both"/>
      </w:pPr>
      <w:r>
        <w:rPr>
          <w:noProof/>
        </w:rPr>
        <w:drawing>
          <wp:inline distT="0" distB="0" distL="0" distR="0">
            <wp:extent cx="6038850" cy="3657600"/>
            <wp:effectExtent l="19050" t="0" r="0" b="0"/>
            <wp:docPr id="1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038850" cy="3657600"/>
                    </a:xfrm>
                    <a:prstGeom prst="rect">
                      <a:avLst/>
                    </a:prstGeom>
                    <a:noFill/>
                  </pic:spPr>
                </pic:pic>
              </a:graphicData>
            </a:graphic>
          </wp:inline>
        </w:drawing>
      </w:r>
    </w:p>
    <w:p w:rsidR="0072489F" w:rsidRDefault="0072489F" w:rsidP="0072489F">
      <w:pPr>
        <w:pStyle w:val="Bezodstpw"/>
        <w:jc w:val="both"/>
      </w:pPr>
    </w:p>
    <w:p w:rsidR="0072489F" w:rsidRDefault="0072489F" w:rsidP="0072489F">
      <w:pPr>
        <w:pStyle w:val="Bezodstpw"/>
        <w:jc w:val="both"/>
      </w:pPr>
      <w:r>
        <w:t xml:space="preserve">Można dostrzec, że na wykresie tej siły względnej doszło do wybicia z formacji podwójnego dna (i to takiej formacji, która jest niemalże idealna, </w:t>
      </w:r>
      <w:r w:rsidRPr="0072489F">
        <w:rPr>
          <w:b/>
          <w:u w:val="single"/>
        </w:rPr>
        <w:t>w tym sensie</w:t>
      </w:r>
      <w:r>
        <w:t>, że obydwa dołki – D1 oraz D2 kształtują się na niemal dokładnie tym samym poziomie)</w:t>
      </w:r>
    </w:p>
    <w:p w:rsidR="0072489F" w:rsidRDefault="0072489F" w:rsidP="0072489F">
      <w:pPr>
        <w:pStyle w:val="Bezodstpw"/>
        <w:jc w:val="both"/>
      </w:pPr>
    </w:p>
    <w:p w:rsidR="0072489F" w:rsidRDefault="0072489F" w:rsidP="0072489F">
      <w:pPr>
        <w:pStyle w:val="Bezodstpw"/>
        <w:jc w:val="both"/>
      </w:pPr>
      <w:r>
        <w:t xml:space="preserve">Z powyższego wykresu każdy może wyciągnąć szereg wniosków. </w:t>
      </w:r>
    </w:p>
    <w:p w:rsidR="0072489F" w:rsidRDefault="0072489F" w:rsidP="0072489F">
      <w:pPr>
        <w:pStyle w:val="Bezodstpw"/>
        <w:jc w:val="both"/>
      </w:pPr>
    </w:p>
    <w:p w:rsidR="0072489F" w:rsidRDefault="0072489F" w:rsidP="0072489F">
      <w:pPr>
        <w:pStyle w:val="Bezodstpw"/>
        <w:jc w:val="both"/>
      </w:pPr>
      <w:r>
        <w:t xml:space="preserve">Można na przykład wyobrazić sobie </w:t>
      </w:r>
      <w:r w:rsidRPr="001E3752">
        <w:rPr>
          <w:b/>
        </w:rPr>
        <w:t>(czysto hipotetyczne, w celach edukacyjnych)</w:t>
      </w:r>
      <w:r>
        <w:t xml:space="preserve"> </w:t>
      </w:r>
      <w:r w:rsidRPr="001E3752">
        <w:rPr>
          <w:b/>
          <w:color w:val="FF0000"/>
        </w:rPr>
        <w:t>inwestora Arkadiusza,</w:t>
      </w:r>
      <w:r>
        <w:t xml:space="preserve"> który powie mniej więcej tak: ,,aktualnie zdobywam wiedzę o funkcjonowaniu rynku </w:t>
      </w:r>
      <w:proofErr w:type="spellStart"/>
      <w:r>
        <w:t>forex</w:t>
      </w:r>
      <w:proofErr w:type="spellEnd"/>
      <w:r>
        <w:t xml:space="preserve">, a ponieważ wciąż jestem jeszcze początkującym inwestorem zamierzam otworzyć na razie rachunek demo i w najbliższym tygodniach zamierzam zajmować długą pozycję na kontraktach terminowych na WIG 20 a krotką pozycję na kontraktach terminowych na Russel 2000, aż do czasu, gdy nie wypełni się formacja podwójnego dna na sile względnej WIG20 / Russel 2000 a zlecenie obronne (tak zwanego </w:t>
      </w:r>
      <w:proofErr w:type="spellStart"/>
      <w:r>
        <w:t>stop-lossa</w:t>
      </w:r>
      <w:proofErr w:type="spellEnd"/>
      <w:r>
        <w:t xml:space="preserve">) zamierzam ustawić na poziomie ¼ wysokości pomiędzy szczytem </w:t>
      </w:r>
      <w:r w:rsidRPr="00186926">
        <w:rPr>
          <w:b/>
        </w:rPr>
        <w:t xml:space="preserve">S </w:t>
      </w:r>
      <w:r>
        <w:t xml:space="preserve">a wyższym dołkiem </w:t>
      </w:r>
      <w:r w:rsidRPr="00186926">
        <w:rPr>
          <w:b/>
        </w:rPr>
        <w:t>D2</w:t>
      </w:r>
      <w:r>
        <w:t>, ¼ od szczytu a ¾ od wyższego dołka (</w:t>
      </w:r>
      <w:r w:rsidRPr="0072489F">
        <w:rPr>
          <w:b/>
          <w:color w:val="FF0000"/>
        </w:rPr>
        <w:t>czerwona linia pozioma</w:t>
      </w:r>
      <w:r>
        <w:t xml:space="preserve"> na wykresie).</w:t>
      </w:r>
    </w:p>
    <w:p w:rsidR="0072489F" w:rsidRDefault="0072489F" w:rsidP="0072489F">
      <w:pPr>
        <w:pStyle w:val="Bezodstpw"/>
        <w:jc w:val="both"/>
      </w:pPr>
    </w:p>
    <w:p w:rsidR="00186926" w:rsidRDefault="00186926" w:rsidP="0072489F">
      <w:pPr>
        <w:pStyle w:val="Bezodstpw"/>
        <w:jc w:val="both"/>
      </w:pPr>
    </w:p>
    <w:p w:rsidR="00512F1A" w:rsidRDefault="00512F1A" w:rsidP="00512F1A">
      <w:pPr>
        <w:pStyle w:val="Bezodstpw"/>
        <w:jc w:val="both"/>
        <w:rPr>
          <w:b/>
        </w:rPr>
      </w:pPr>
      <w:r w:rsidRPr="00684436">
        <w:rPr>
          <w:b/>
        </w:rPr>
        <w:lastRenderedPageBreak/>
        <w:t xml:space="preserve">Wnioski końcowe </w:t>
      </w:r>
    </w:p>
    <w:p w:rsidR="00512F1A" w:rsidRDefault="00512F1A" w:rsidP="00512F1A">
      <w:pPr>
        <w:pStyle w:val="Bezodstpw"/>
        <w:jc w:val="both"/>
        <w:rPr>
          <w:b/>
        </w:rPr>
      </w:pPr>
    </w:p>
    <w:p w:rsidR="00512F1A" w:rsidRPr="00A1778F" w:rsidRDefault="00512F1A" w:rsidP="00512F1A">
      <w:pPr>
        <w:pStyle w:val="Bezodstpw"/>
        <w:numPr>
          <w:ilvl w:val="0"/>
          <w:numId w:val="1"/>
        </w:numPr>
        <w:jc w:val="both"/>
      </w:pPr>
      <w:r w:rsidRPr="00BE556A">
        <w:rPr>
          <w:b/>
        </w:rPr>
        <w:t>Kurs dolara (w złotych)</w:t>
      </w:r>
      <w:r w:rsidRPr="00ED5598">
        <w:t xml:space="preserve"> powinien w tym roku zmierzać </w:t>
      </w:r>
      <w:r w:rsidRPr="00BE556A">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BE556A">
        <w:rPr>
          <w:b/>
          <w:color w:val="FF0000"/>
        </w:rPr>
        <w:t>3,4</w:t>
      </w:r>
      <w:r>
        <w:rPr>
          <w:b/>
          <w:color w:val="FF0000"/>
        </w:rPr>
        <w:t>10</w:t>
      </w:r>
      <w:r w:rsidRPr="00BE556A">
        <w:rPr>
          <w:b/>
          <w:color w:val="FF0000"/>
        </w:rPr>
        <w:t>.</w:t>
      </w:r>
      <w:r w:rsidRPr="00ED5598">
        <w:t xml:space="preserve"> Z kolei </w:t>
      </w:r>
      <w:r w:rsidRPr="00BE556A">
        <w:rPr>
          <w:b/>
        </w:rPr>
        <w:t>kurs euro (w złotych)</w:t>
      </w:r>
      <w:r w:rsidRPr="00ED5598">
        <w:t xml:space="preserve"> znajduje się </w:t>
      </w:r>
      <w:r w:rsidRPr="00BE556A">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BE556A">
        <w:rPr>
          <w:b/>
          <w:color w:val="FF0000"/>
        </w:rPr>
        <w:t>4,27</w:t>
      </w:r>
      <w:r>
        <w:rPr>
          <w:b/>
          <w:color w:val="FF0000"/>
        </w:rPr>
        <w:t>0</w:t>
      </w:r>
      <w:r w:rsidRPr="00ED5598">
        <w:t xml:space="preserve">.  </w:t>
      </w:r>
      <w:r>
        <w:t xml:space="preserve">Na możliwość pojawienia się w tym roku kolejnej fali umocnienia walut zagranicznych (w złotych) wskazuje także niewypełniona formacja podwójnego dna na wykresie indeksu walutowego </w:t>
      </w:r>
      <w:r w:rsidRPr="00E62A90">
        <w:rPr>
          <w:b/>
        </w:rPr>
        <w:t>Polish Basket Zloty</w:t>
      </w:r>
      <w:r w:rsidRPr="00E62A90">
        <w:t xml:space="preserve">, który ma szansę zyskać na wartości jeszcze </w:t>
      </w:r>
      <w:r w:rsidRPr="00E62A90">
        <w:rPr>
          <w:b/>
          <w:color w:val="FF0000"/>
        </w:rPr>
        <w:t>2,</w:t>
      </w:r>
      <w:r>
        <w:rPr>
          <w:b/>
          <w:color w:val="FF0000"/>
        </w:rPr>
        <w:t>9</w:t>
      </w:r>
      <w:r w:rsidRPr="00E62A90">
        <w:rPr>
          <w:b/>
          <w:color w:val="FF0000"/>
        </w:rPr>
        <w:t>%.</w:t>
      </w:r>
      <w:r w:rsidR="00A1778F">
        <w:rPr>
          <w:b/>
          <w:color w:val="FF0000"/>
        </w:rPr>
        <w:t xml:space="preserve"> </w:t>
      </w:r>
      <w:r w:rsidR="00A1778F" w:rsidRPr="00A1778F">
        <w:rPr>
          <w:color w:val="000000" w:themeColor="text1"/>
        </w:rPr>
        <w:t>W przypadku przebicia od dolcu poziomu 3,1138 zł. na wykresie jena japońskiego (w złotych) można oczekiwać dalszych wzrostów nie tylko jena japońskiego (w złotych), lecz także innych walut zagranicznych (w złotych).</w:t>
      </w:r>
    </w:p>
    <w:p w:rsidR="00512F1A" w:rsidRDefault="00512F1A" w:rsidP="00512F1A">
      <w:pPr>
        <w:pStyle w:val="Bezodstpw"/>
        <w:ind w:left="720"/>
        <w:jc w:val="both"/>
      </w:pPr>
    </w:p>
    <w:p w:rsidR="00512F1A" w:rsidRDefault="00512F1A" w:rsidP="00512F1A">
      <w:pPr>
        <w:pStyle w:val="Bezodstpw"/>
        <w:numPr>
          <w:ilvl w:val="0"/>
          <w:numId w:val="1"/>
        </w:numPr>
        <w:jc w:val="both"/>
      </w:pPr>
      <w:r w:rsidRPr="00ED5598">
        <w:t xml:space="preserve">Analizując wykres indeksu </w:t>
      </w:r>
      <w:r w:rsidRPr="00512F1A">
        <w:rPr>
          <w:b/>
        </w:rPr>
        <w:t>WIG 20</w:t>
      </w:r>
      <w:r w:rsidRPr="00ED5598">
        <w:t xml:space="preserve"> w horyzoncie długoterminowym można dostrzec trwający kilkanaście miesięcy okres </w:t>
      </w:r>
      <w:r w:rsidRPr="00512F1A">
        <w:rPr>
          <w:b/>
        </w:rPr>
        <w:t>konsolidacj</w:t>
      </w:r>
      <w:r w:rsidRPr="00ED5598">
        <w:t xml:space="preserve">i. Sądzę, że jesteśmy przed bardzo silnym wybiciem z konsolidacji. Uważam, że szereg argumentów przemawia za tym, że będzie to </w:t>
      </w:r>
      <w:r w:rsidRPr="00512F1A">
        <w:rPr>
          <w:b/>
        </w:rPr>
        <w:t>silne wybicie w górę</w:t>
      </w:r>
      <w:r w:rsidRPr="00ED5598">
        <w:t xml:space="preserve">. </w:t>
      </w:r>
      <w:r>
        <w:t xml:space="preserve"> Zbliża się </w:t>
      </w:r>
      <w:r w:rsidRPr="00512F1A">
        <w:rPr>
          <w:b/>
        </w:rPr>
        <w:t>bardzo korzystna</w:t>
      </w:r>
      <w:r>
        <w:t xml:space="preserve"> dla posiadaczy polskich akcji </w:t>
      </w:r>
      <w:r w:rsidRPr="00512F1A">
        <w:rPr>
          <w:b/>
        </w:rPr>
        <w:t>faza amerykańskiego cyklu prezydenckiego</w:t>
      </w:r>
      <w:r>
        <w:t xml:space="preserve">. </w:t>
      </w:r>
      <w:r w:rsidRPr="00512F1A">
        <w:rPr>
          <w:b/>
          <w:u w:val="single"/>
        </w:rPr>
        <w:t>W krótkim okresie</w:t>
      </w:r>
      <w:r>
        <w:t xml:space="preserve"> możliwa jest nieznaczna kontynuacja spadków indeksu WIG 20, co może być związane z realną perspektywą pojawienia się dalszych krótkoterminowych spadków na giełdach dojrzałych, na których w licznych przypadkach doszło do wybicia z niewypełnionych jeszcze formacji </w:t>
      </w:r>
      <w:r w:rsidRPr="002107FE">
        <w:rPr>
          <w:b/>
          <w:u w:val="single"/>
        </w:rPr>
        <w:t>krótkoterminowego podwójnego szczytu</w:t>
      </w:r>
      <w:r>
        <w:t xml:space="preserve"> (indeks ogólnoświatowy, </w:t>
      </w:r>
      <w:proofErr w:type="spellStart"/>
      <w:r>
        <w:t>S&amp;P</w:t>
      </w:r>
      <w:proofErr w:type="spellEnd"/>
      <w:r>
        <w:t xml:space="preserve"> 500, Russel 2000, DAX, CAC, </w:t>
      </w:r>
      <w:proofErr w:type="spellStart"/>
      <w:r>
        <w:t>FT-SE</w:t>
      </w:r>
      <w:proofErr w:type="spellEnd"/>
      <w:r>
        <w:t xml:space="preserve"> 100)</w:t>
      </w:r>
    </w:p>
    <w:p w:rsidR="00512F1A" w:rsidRDefault="00512F1A" w:rsidP="00512F1A">
      <w:pPr>
        <w:pStyle w:val="Akapitzlist"/>
      </w:pPr>
    </w:p>
    <w:p w:rsidR="00512F1A" w:rsidRDefault="00512F1A" w:rsidP="00512F1A">
      <w:pPr>
        <w:pStyle w:val="Bezodstpw"/>
        <w:jc w:val="both"/>
      </w:pPr>
      <w:r>
        <w:t xml:space="preserve">Opracował: </w:t>
      </w:r>
      <w:r w:rsidRPr="00AA453E">
        <w:t>Sławomir Kłusek</w:t>
      </w:r>
      <w:r>
        <w:t>, 13 października 2014 r.</w:t>
      </w:r>
    </w:p>
    <w:p w:rsidR="00512F1A" w:rsidRDefault="00512F1A" w:rsidP="00512F1A">
      <w:pPr>
        <w:pStyle w:val="Bezodstpw"/>
        <w:ind w:left="720"/>
        <w:jc w:val="both"/>
      </w:pPr>
    </w:p>
    <w:p w:rsidR="00512F1A" w:rsidRDefault="00512F1A" w:rsidP="00512F1A">
      <w:pPr>
        <w:pStyle w:val="Bezodstpw"/>
        <w:jc w:val="both"/>
      </w:pPr>
      <w:r>
        <w:t xml:space="preserve">Powyższy raport stanowi wyłącznie wyraz osobistych opinii autora. </w:t>
      </w:r>
    </w:p>
    <w:p w:rsidR="00512F1A" w:rsidRDefault="00512F1A" w:rsidP="00512F1A">
      <w:pPr>
        <w:pStyle w:val="Bezodstpw"/>
        <w:jc w:val="both"/>
      </w:pPr>
    </w:p>
    <w:p w:rsidR="00512F1A" w:rsidRDefault="00512F1A" w:rsidP="00512F1A">
      <w:pPr>
        <w:pStyle w:val="Bezodstpw"/>
        <w:jc w:val="both"/>
      </w:pPr>
      <w:r>
        <w:t xml:space="preserve">Treści zawarte na stronie internetowej </w:t>
      </w:r>
      <w:hyperlink r:id="rId27"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512F1A" w:rsidRDefault="00512F1A" w:rsidP="00512F1A">
      <w:pPr>
        <w:pStyle w:val="Bezodstpw"/>
        <w:jc w:val="both"/>
      </w:pPr>
    </w:p>
    <w:p w:rsidR="00512F1A" w:rsidRDefault="00512F1A" w:rsidP="00512F1A">
      <w:pPr>
        <w:pStyle w:val="Bezodstpw"/>
        <w:jc w:val="both"/>
      </w:pPr>
      <w:r>
        <w:t xml:space="preserve">Autor nie ponosi odpowiedzialności za jakiekolwiek decyzje inwestycyjne podjęte na podstawie treści zawartych na stronie internetowej </w:t>
      </w:r>
      <w:hyperlink r:id="rId28" w:history="1">
        <w:r w:rsidRPr="00093965">
          <w:rPr>
            <w:rStyle w:val="Hipercze"/>
          </w:rPr>
          <w:t>www.analizy-rynkowe.pl</w:t>
        </w:r>
      </w:hyperlink>
    </w:p>
    <w:p w:rsidR="00512F1A" w:rsidRDefault="00512F1A" w:rsidP="00A133B3">
      <w:pPr>
        <w:pStyle w:val="Bezodstpw"/>
        <w:jc w:val="both"/>
      </w:pPr>
    </w:p>
    <w:sectPr w:rsidR="00512F1A" w:rsidSect="00DE1A5D">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92B" w:rsidRDefault="00DE292B" w:rsidP="005027DA">
      <w:pPr>
        <w:spacing w:after="0" w:line="240" w:lineRule="auto"/>
      </w:pPr>
      <w:r>
        <w:separator/>
      </w:r>
    </w:p>
  </w:endnote>
  <w:endnote w:type="continuationSeparator" w:id="0">
    <w:p w:rsidR="00DE292B" w:rsidRDefault="00DE292B" w:rsidP="00502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62397A" w:rsidRDefault="00C62125">
        <w:pPr>
          <w:pStyle w:val="Stopka"/>
          <w:jc w:val="center"/>
        </w:pPr>
        <w:fldSimple w:instr="PAGE   \* MERGEFORMAT">
          <w:r w:rsidR="00186926">
            <w:rPr>
              <w:noProof/>
            </w:rPr>
            <w:t>14</w:t>
          </w:r>
        </w:fldSimple>
      </w:p>
    </w:sdtContent>
  </w:sdt>
  <w:p w:rsidR="0062397A" w:rsidRDefault="006239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92B" w:rsidRDefault="00DE292B" w:rsidP="005027DA">
      <w:pPr>
        <w:spacing w:after="0" w:line="240" w:lineRule="auto"/>
      </w:pPr>
      <w:r>
        <w:separator/>
      </w:r>
    </w:p>
  </w:footnote>
  <w:footnote w:type="continuationSeparator" w:id="0">
    <w:p w:rsidR="00DE292B" w:rsidRDefault="00DE292B" w:rsidP="00502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BF9"/>
    <w:multiLevelType w:val="hybridMultilevel"/>
    <w:tmpl w:val="FF667A3E"/>
    <w:lvl w:ilvl="0" w:tplc="7BF62FA4">
      <w:numFmt w:val="bullet"/>
      <w:lvlText w:val=""/>
      <w:lvlJc w:val="left"/>
      <w:pPr>
        <w:ind w:left="720" w:hanging="360"/>
      </w:pPr>
      <w:rPr>
        <w:rFonts w:ascii="Wingdings" w:eastAsiaTheme="minorHAnsi" w:hAnsi="Wingdings" w:cstheme="minorBid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B2C72E2"/>
    <w:multiLevelType w:val="hybridMultilevel"/>
    <w:tmpl w:val="AE9AD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C80FA8"/>
    <w:rsid w:val="00002852"/>
    <w:rsid w:val="000E5DF7"/>
    <w:rsid w:val="00182167"/>
    <w:rsid w:val="00186926"/>
    <w:rsid w:val="001B3D07"/>
    <w:rsid w:val="001B7F97"/>
    <w:rsid w:val="002107FE"/>
    <w:rsid w:val="0023792F"/>
    <w:rsid w:val="00241254"/>
    <w:rsid w:val="002E23EA"/>
    <w:rsid w:val="002F48E9"/>
    <w:rsid w:val="00306B50"/>
    <w:rsid w:val="00312903"/>
    <w:rsid w:val="003A5DF1"/>
    <w:rsid w:val="003C3339"/>
    <w:rsid w:val="003E6062"/>
    <w:rsid w:val="00476328"/>
    <w:rsid w:val="005027DA"/>
    <w:rsid w:val="00512F1A"/>
    <w:rsid w:val="0051739D"/>
    <w:rsid w:val="00542E55"/>
    <w:rsid w:val="00561D74"/>
    <w:rsid w:val="005A5DB7"/>
    <w:rsid w:val="005A640E"/>
    <w:rsid w:val="00604176"/>
    <w:rsid w:val="0062397A"/>
    <w:rsid w:val="00624E5D"/>
    <w:rsid w:val="00650D9B"/>
    <w:rsid w:val="0068236C"/>
    <w:rsid w:val="006D4AFC"/>
    <w:rsid w:val="0072489F"/>
    <w:rsid w:val="00772A4A"/>
    <w:rsid w:val="007B074E"/>
    <w:rsid w:val="00806741"/>
    <w:rsid w:val="00860BC6"/>
    <w:rsid w:val="00881030"/>
    <w:rsid w:val="008C3891"/>
    <w:rsid w:val="0094581D"/>
    <w:rsid w:val="00945930"/>
    <w:rsid w:val="009E1F3E"/>
    <w:rsid w:val="00A118E9"/>
    <w:rsid w:val="00A133B3"/>
    <w:rsid w:val="00A14615"/>
    <w:rsid w:val="00A1778F"/>
    <w:rsid w:val="00A41A2A"/>
    <w:rsid w:val="00A519DD"/>
    <w:rsid w:val="00A8460C"/>
    <w:rsid w:val="00AE2566"/>
    <w:rsid w:val="00B955C6"/>
    <w:rsid w:val="00BE329A"/>
    <w:rsid w:val="00C162A6"/>
    <w:rsid w:val="00C22747"/>
    <w:rsid w:val="00C62125"/>
    <w:rsid w:val="00C80FA8"/>
    <w:rsid w:val="00D14D70"/>
    <w:rsid w:val="00D20851"/>
    <w:rsid w:val="00D24206"/>
    <w:rsid w:val="00D30787"/>
    <w:rsid w:val="00D72E16"/>
    <w:rsid w:val="00D903A4"/>
    <w:rsid w:val="00DC1683"/>
    <w:rsid w:val="00DE1A5D"/>
    <w:rsid w:val="00DE292B"/>
    <w:rsid w:val="00E12FDD"/>
    <w:rsid w:val="00E1738D"/>
    <w:rsid w:val="00EF40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FA8"/>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80FA8"/>
    <w:pPr>
      <w:spacing w:after="0" w:line="240" w:lineRule="auto"/>
    </w:pPr>
    <w:rPr>
      <w:rFonts w:eastAsiaTheme="minorEastAsia"/>
      <w:lang w:eastAsia="pl-PL"/>
    </w:rPr>
  </w:style>
  <w:style w:type="paragraph" w:styleId="Stopka">
    <w:name w:val="footer"/>
    <w:basedOn w:val="Normalny"/>
    <w:link w:val="StopkaZnak"/>
    <w:uiPriority w:val="99"/>
    <w:unhideWhenUsed/>
    <w:rsid w:val="00C80F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FA8"/>
    <w:rPr>
      <w:rFonts w:eastAsiaTheme="minorEastAsia"/>
      <w:lang w:eastAsia="pl-PL"/>
    </w:rPr>
  </w:style>
  <w:style w:type="character" w:styleId="Hipercze">
    <w:name w:val="Hyperlink"/>
    <w:basedOn w:val="Domylnaczcionkaakapitu"/>
    <w:uiPriority w:val="99"/>
    <w:unhideWhenUsed/>
    <w:rsid w:val="00C80FA8"/>
    <w:rPr>
      <w:color w:val="0000FF" w:themeColor="hyperlink"/>
      <w:u w:val="single"/>
    </w:rPr>
  </w:style>
  <w:style w:type="table" w:styleId="Tabela-Siatka">
    <w:name w:val="Table Grid"/>
    <w:basedOn w:val="Standardowy"/>
    <w:uiPriority w:val="59"/>
    <w:rsid w:val="00C80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80F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FA8"/>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6239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397A"/>
    <w:rPr>
      <w:rFonts w:eastAsiaTheme="minorEastAsia"/>
      <w:sz w:val="20"/>
      <w:szCs w:val="20"/>
      <w:lang w:eastAsia="pl-PL"/>
    </w:rPr>
  </w:style>
  <w:style w:type="character" w:styleId="Odwoanieprzypisukocowego">
    <w:name w:val="endnote reference"/>
    <w:basedOn w:val="Domylnaczcionkaakapitu"/>
    <w:uiPriority w:val="99"/>
    <w:semiHidden/>
    <w:unhideWhenUsed/>
    <w:rsid w:val="0062397A"/>
    <w:rPr>
      <w:vertAlign w:val="superscript"/>
    </w:rPr>
  </w:style>
  <w:style w:type="paragraph" w:styleId="Akapitzlist">
    <w:name w:val="List Paragraph"/>
    <w:basedOn w:val="Normalny"/>
    <w:uiPriority w:val="34"/>
    <w:qFormat/>
    <w:rsid w:val="00512F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www.analizy-rynkowe.pl"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analizy-rynkowe.pl"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bankier.pl/wiadomosc/Japonia-bank-centralny-wpadl-w-zakupoholizm-7218426.html" TargetMode="External"/><Relationship Id="rId28" Type="http://schemas.openxmlformats.org/officeDocument/2006/relationships/hyperlink" Target="http://www.analizy-rynkowe.pl"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bankier.pl" TargetMode="External"/><Relationship Id="rId27" Type="http://schemas.openxmlformats.org/officeDocument/2006/relationships/hyperlink" Target="http://www.analizy-rynkow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F2DA9-9033-4E06-B559-0052927C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2876</Words>
  <Characters>17262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2014-10-11T22:10:00Z</dcterms:created>
  <dcterms:modified xsi:type="dcterms:W3CDTF">2014-10-11T22:10:00Z</dcterms:modified>
</cp:coreProperties>
</file>