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64" w:rsidRPr="00C16D3A" w:rsidRDefault="00884F64" w:rsidP="00884F64">
      <w:pPr>
        <w:pStyle w:val="Bezodstpw"/>
        <w:jc w:val="center"/>
        <w:rPr>
          <w:shadow/>
          <w:color w:val="FF0000"/>
          <w:sz w:val="180"/>
          <w:szCs w:val="180"/>
        </w:rPr>
      </w:pPr>
      <w:r w:rsidRPr="00C16D3A">
        <w:rPr>
          <w:shadow/>
          <w:color w:val="FF0000"/>
          <w:sz w:val="180"/>
          <w:szCs w:val="180"/>
        </w:rPr>
        <w:t>Raport</w:t>
      </w:r>
    </w:p>
    <w:p w:rsidR="00884F64" w:rsidRDefault="00884F64" w:rsidP="00884F64">
      <w:pPr>
        <w:pStyle w:val="Bezodstpw"/>
        <w:jc w:val="center"/>
        <w:rPr>
          <w:shadow/>
          <w:color w:val="FF0000"/>
          <w:sz w:val="180"/>
          <w:szCs w:val="180"/>
        </w:rPr>
      </w:pPr>
      <w:r w:rsidRPr="00C16D3A">
        <w:rPr>
          <w:shadow/>
          <w:color w:val="FF0000"/>
          <w:sz w:val="180"/>
          <w:szCs w:val="180"/>
        </w:rPr>
        <w:t>Tygodniowy</w:t>
      </w:r>
    </w:p>
    <w:p w:rsidR="00884F64" w:rsidRPr="00BB2EC3" w:rsidRDefault="00884F64" w:rsidP="00884F64">
      <w:pPr>
        <w:pStyle w:val="Bezodstpw"/>
        <w:jc w:val="center"/>
        <w:rPr>
          <w:shadow/>
          <w:color w:val="FF0000"/>
          <w:sz w:val="100"/>
          <w:szCs w:val="100"/>
        </w:rPr>
      </w:pPr>
      <w:r w:rsidRPr="00BB2EC3">
        <w:rPr>
          <w:shadow/>
          <w:color w:val="FF0000"/>
          <w:sz w:val="100"/>
          <w:szCs w:val="100"/>
        </w:rPr>
        <w:t>o sytuacji na</w:t>
      </w:r>
    </w:p>
    <w:p w:rsidR="00884F64" w:rsidRPr="00BB2EC3" w:rsidRDefault="00884F64" w:rsidP="00884F64">
      <w:pPr>
        <w:pStyle w:val="Bezodstpw"/>
        <w:jc w:val="center"/>
        <w:rPr>
          <w:shadow/>
          <w:color w:val="FF0000"/>
          <w:sz w:val="100"/>
          <w:szCs w:val="100"/>
        </w:rPr>
      </w:pPr>
      <w:r w:rsidRPr="00BB2EC3">
        <w:rPr>
          <w:shadow/>
          <w:color w:val="FF0000"/>
          <w:sz w:val="100"/>
          <w:szCs w:val="100"/>
        </w:rPr>
        <w:t>rynkach finansowych</w:t>
      </w:r>
    </w:p>
    <w:p w:rsidR="00884F64" w:rsidRPr="00400806" w:rsidRDefault="00884F64" w:rsidP="00884F64">
      <w:pPr>
        <w:pStyle w:val="Bezodstpw"/>
        <w:jc w:val="center"/>
        <w:rPr>
          <w:sz w:val="48"/>
          <w:szCs w:val="48"/>
        </w:rPr>
      </w:pPr>
    </w:p>
    <w:p w:rsidR="00884F64" w:rsidRDefault="00884F64" w:rsidP="00884F64">
      <w:pPr>
        <w:pStyle w:val="Bezodstpw"/>
        <w:jc w:val="center"/>
        <w:rPr>
          <w:sz w:val="48"/>
          <w:szCs w:val="48"/>
        </w:rPr>
      </w:pPr>
    </w:p>
    <w:p w:rsidR="00884F64" w:rsidRPr="009A4255" w:rsidRDefault="00884F64" w:rsidP="00884F64">
      <w:pPr>
        <w:pStyle w:val="Bezodstpw"/>
        <w:jc w:val="center"/>
        <w:rPr>
          <w:shadow/>
          <w:sz w:val="100"/>
          <w:szCs w:val="100"/>
          <w:u w:val="single"/>
        </w:rPr>
      </w:pPr>
      <w:r w:rsidRPr="009A4255">
        <w:rPr>
          <w:shadow/>
          <w:sz w:val="100"/>
          <w:szCs w:val="100"/>
          <w:u w:val="single"/>
        </w:rPr>
        <w:t>Rynek walutowy</w:t>
      </w:r>
    </w:p>
    <w:p w:rsidR="00884F64" w:rsidRPr="009A4255" w:rsidRDefault="00884F64" w:rsidP="00884F64">
      <w:pPr>
        <w:pStyle w:val="Bezodstpw"/>
        <w:jc w:val="center"/>
        <w:rPr>
          <w:shadow/>
          <w:sz w:val="100"/>
          <w:szCs w:val="100"/>
        </w:rPr>
      </w:pPr>
    </w:p>
    <w:p w:rsidR="00884F64" w:rsidRPr="009A4255" w:rsidRDefault="00884F64" w:rsidP="00884F64">
      <w:pPr>
        <w:pStyle w:val="Bezodstpw"/>
        <w:jc w:val="center"/>
        <w:rPr>
          <w:shadow/>
          <w:sz w:val="100"/>
          <w:szCs w:val="100"/>
          <w:u w:val="single"/>
        </w:rPr>
      </w:pPr>
      <w:r w:rsidRPr="009A4255">
        <w:rPr>
          <w:shadow/>
          <w:sz w:val="100"/>
          <w:szCs w:val="100"/>
          <w:u w:val="single"/>
        </w:rPr>
        <w:t>Rynek akcji</w:t>
      </w:r>
    </w:p>
    <w:p w:rsidR="00884F64" w:rsidRDefault="00884F64" w:rsidP="00884F64">
      <w:pPr>
        <w:pStyle w:val="Bezodstpw"/>
        <w:jc w:val="both"/>
      </w:pPr>
    </w:p>
    <w:p w:rsidR="00884F64" w:rsidRDefault="00884F64" w:rsidP="00884F64">
      <w:pPr>
        <w:pStyle w:val="Bezodstpw"/>
        <w:jc w:val="both"/>
      </w:pPr>
    </w:p>
    <w:p w:rsidR="00884F64" w:rsidRDefault="00884F64" w:rsidP="00884F64">
      <w:pPr>
        <w:pStyle w:val="Bezodstpw"/>
        <w:jc w:val="both"/>
      </w:pPr>
    </w:p>
    <w:p w:rsidR="00884F64" w:rsidRDefault="00884F64" w:rsidP="00884F64">
      <w:pPr>
        <w:pStyle w:val="Bezodstpw"/>
        <w:jc w:val="both"/>
      </w:pPr>
    </w:p>
    <w:p w:rsidR="00884F64" w:rsidRDefault="00884F64" w:rsidP="00884F64">
      <w:pPr>
        <w:pStyle w:val="Bezodstpw"/>
        <w:jc w:val="both"/>
      </w:pPr>
    </w:p>
    <w:p w:rsidR="00884F64" w:rsidRDefault="00884F64" w:rsidP="00884F64">
      <w:pPr>
        <w:pStyle w:val="Bezodstpw"/>
        <w:jc w:val="both"/>
      </w:pPr>
    </w:p>
    <w:p w:rsidR="00884F64" w:rsidRDefault="00884F64" w:rsidP="00884F64">
      <w:pPr>
        <w:pStyle w:val="Bezodstpw"/>
        <w:jc w:val="both"/>
      </w:pPr>
    </w:p>
    <w:p w:rsidR="00884F64" w:rsidRDefault="00884F64" w:rsidP="00884F64">
      <w:pPr>
        <w:pStyle w:val="Bezodstpw"/>
        <w:jc w:val="both"/>
      </w:pPr>
    </w:p>
    <w:p w:rsidR="00884F64" w:rsidRPr="00D72F94" w:rsidRDefault="00884F64" w:rsidP="00884F64">
      <w:pPr>
        <w:pStyle w:val="Bezodstpw"/>
        <w:jc w:val="both"/>
        <w:rPr>
          <w:shadow/>
          <w:sz w:val="24"/>
          <w:szCs w:val="24"/>
        </w:rPr>
      </w:pPr>
      <w:r w:rsidRPr="00D72F94">
        <w:rPr>
          <w:shadow/>
          <w:sz w:val="24"/>
          <w:szCs w:val="24"/>
        </w:rPr>
        <w:lastRenderedPageBreak/>
        <w:t xml:space="preserve">Poniedziałek, </w:t>
      </w:r>
      <w:r>
        <w:rPr>
          <w:shadow/>
          <w:sz w:val="24"/>
          <w:szCs w:val="24"/>
        </w:rPr>
        <w:t xml:space="preserve">6 października </w:t>
      </w:r>
      <w:r w:rsidRPr="00D72F94">
        <w:rPr>
          <w:shadow/>
          <w:sz w:val="24"/>
          <w:szCs w:val="24"/>
        </w:rPr>
        <w:t>2014 roku</w:t>
      </w:r>
    </w:p>
    <w:p w:rsidR="00884F64" w:rsidRDefault="00884F64" w:rsidP="00884F64">
      <w:pPr>
        <w:pStyle w:val="Bezodstpw"/>
        <w:jc w:val="both"/>
      </w:pPr>
    </w:p>
    <w:p w:rsidR="00884F64" w:rsidRDefault="00884F64" w:rsidP="00884F64">
      <w:pPr>
        <w:pStyle w:val="Bezodstpw"/>
        <w:pBdr>
          <w:top w:val="single" w:sz="4" w:space="1" w:color="auto"/>
          <w:left w:val="single" w:sz="4" w:space="4" w:color="auto"/>
          <w:bottom w:val="single" w:sz="4" w:space="1" w:color="auto"/>
          <w:right w:val="single" w:sz="4" w:space="4" w:color="auto"/>
        </w:pBdr>
        <w:jc w:val="center"/>
      </w:pPr>
      <w:r>
        <w:t xml:space="preserve">Kurs USD/PLN – perspektywa długoterminowa, kurs z </w:t>
      </w:r>
      <w:r w:rsidR="00E606E1">
        <w:t>3 października 2</w:t>
      </w:r>
      <w:r>
        <w:t>014 roku = 3,</w:t>
      </w:r>
      <w:r w:rsidR="00C43E82">
        <w:t>3478</w:t>
      </w:r>
    </w:p>
    <w:p w:rsidR="00884F64" w:rsidRDefault="00884F64" w:rsidP="00884F64">
      <w:pPr>
        <w:pStyle w:val="Bezodstpw"/>
        <w:jc w:val="both"/>
      </w:pPr>
    </w:p>
    <w:p w:rsidR="00884F64" w:rsidRDefault="00C43E82" w:rsidP="00884F64">
      <w:pPr>
        <w:pStyle w:val="Bezodstpw"/>
        <w:jc w:val="both"/>
      </w:pPr>
      <w:r>
        <w:rPr>
          <w:noProof/>
        </w:rPr>
        <w:drawing>
          <wp:inline distT="0" distB="0" distL="0" distR="0">
            <wp:extent cx="3686175" cy="2257425"/>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86175" cy="2257425"/>
                    </a:xfrm>
                    <a:prstGeom prst="rect">
                      <a:avLst/>
                    </a:prstGeom>
                    <a:noFill/>
                  </pic:spPr>
                </pic:pic>
              </a:graphicData>
            </a:graphic>
          </wp:inline>
        </w:drawing>
      </w:r>
    </w:p>
    <w:p w:rsidR="00884F64" w:rsidRDefault="00884F64" w:rsidP="00884F64">
      <w:pPr>
        <w:pStyle w:val="Bezodstpw"/>
      </w:pPr>
    </w:p>
    <w:p w:rsidR="00884F64" w:rsidRDefault="00884F64" w:rsidP="00884F64">
      <w:pPr>
        <w:pStyle w:val="Bezodstpw"/>
        <w:jc w:val="both"/>
      </w:pPr>
      <w:r>
        <w:t xml:space="preserve">Sytuacja długoterminowa </w:t>
      </w:r>
      <w:r w:rsidRPr="002F417B">
        <w:rPr>
          <w:b/>
          <w:u w:val="single"/>
        </w:rPr>
        <w:t>bez zmian</w:t>
      </w:r>
      <w:r>
        <w:t xml:space="preserve">. Kurs dolara (w złotych) nadal znajduje się poniżej </w:t>
      </w:r>
      <w:r w:rsidRPr="00EC4DE7">
        <w:rPr>
          <w:b/>
        </w:rPr>
        <w:t xml:space="preserve">długoterminowej </w:t>
      </w:r>
      <w:r>
        <w:rPr>
          <w:b/>
        </w:rPr>
        <w:t xml:space="preserve">spadkowej </w:t>
      </w:r>
      <w:r w:rsidRPr="00EC4DE7">
        <w:rPr>
          <w:b/>
        </w:rPr>
        <w:t>linii trendu</w:t>
      </w:r>
      <w:r>
        <w:t xml:space="preserve"> poprowadzonej przez szczyty z lutego 2009 roku oraz czerwca 2012 roku. Linia ta stanowi </w:t>
      </w:r>
      <w:r w:rsidRPr="00EC4DE7">
        <w:rPr>
          <w:b/>
        </w:rPr>
        <w:t>bardzo ważny opór</w:t>
      </w:r>
      <w:r>
        <w:t xml:space="preserve">. W chwili obecnej przebiega ona na poziomie </w:t>
      </w:r>
      <w:r w:rsidRPr="00EC4DE7">
        <w:rPr>
          <w:b/>
          <w:color w:val="FF0000"/>
        </w:rPr>
        <w:t>3,4</w:t>
      </w:r>
      <w:r>
        <w:rPr>
          <w:b/>
          <w:color w:val="FF0000"/>
        </w:rPr>
        <w:t>10</w:t>
      </w:r>
      <w:r>
        <w:t xml:space="preserve">. W kolejnych miesiącach z natury rzeczy przebiegać będzie ona na coraz niższym poziomie – w końcu października na poziomie 3,408, w końcu października na poziomie 3,401, w końcu listopada na poziomie 3,394, w końcu grudnia na poziomie 3,388. Można sądzić, że </w:t>
      </w:r>
      <w:r w:rsidRPr="0052647A">
        <w:rPr>
          <w:b/>
          <w:u w:val="single"/>
        </w:rPr>
        <w:t>jeszcze w tym roku</w:t>
      </w:r>
      <w:r>
        <w:t xml:space="preserve"> kurs dolara (w złotych) osiągnie od dołu poziom wspomnianej długoterminowej spadkowej linii trendu. </w:t>
      </w:r>
      <w:r w:rsidRPr="007A4135">
        <w:rPr>
          <w:b/>
        </w:rPr>
        <w:t>P</w:t>
      </w:r>
      <w:r w:rsidRPr="007A4135">
        <w:rPr>
          <w:b/>
          <w:u w:val="single"/>
        </w:rPr>
        <w:t>rz</w:t>
      </w:r>
      <w:r w:rsidRPr="004E7F4F">
        <w:rPr>
          <w:b/>
          <w:u w:val="single"/>
        </w:rPr>
        <w:t>ebita</w:t>
      </w:r>
      <w:r w:rsidRPr="00EC4DE7">
        <w:rPr>
          <w:b/>
        </w:rPr>
        <w:t xml:space="preserve"> została od dołu</w:t>
      </w:r>
      <w:r>
        <w:t xml:space="preserve"> </w:t>
      </w:r>
      <w:r w:rsidRPr="004E7F4F">
        <w:rPr>
          <w:b/>
        </w:rPr>
        <w:t>linia</w:t>
      </w:r>
      <w:r>
        <w:t xml:space="preserve"> poprowadzona przez szczyty z czerwca 2012 roku oraz lipca 2013 roku. </w:t>
      </w:r>
    </w:p>
    <w:p w:rsidR="00884F64" w:rsidRDefault="00884F64" w:rsidP="00884F64">
      <w:pPr>
        <w:pStyle w:val="Bezodstpw"/>
        <w:jc w:val="both"/>
      </w:pPr>
    </w:p>
    <w:p w:rsidR="00884F64" w:rsidRDefault="00884F64" w:rsidP="00884F64">
      <w:pPr>
        <w:pStyle w:val="Bezodstpw"/>
        <w:pBdr>
          <w:top w:val="single" w:sz="4" w:space="1" w:color="auto"/>
          <w:left w:val="single" w:sz="4" w:space="4" w:color="auto"/>
          <w:bottom w:val="single" w:sz="4" w:space="1" w:color="auto"/>
          <w:right w:val="single" w:sz="4" w:space="4" w:color="auto"/>
        </w:pBdr>
        <w:jc w:val="center"/>
      </w:pPr>
      <w:r>
        <w:t xml:space="preserve">Kurs EUR/PLN – perspektywa długoterminowa, kurs z </w:t>
      </w:r>
      <w:r w:rsidR="00E606E1">
        <w:t xml:space="preserve">3 października </w:t>
      </w:r>
      <w:r>
        <w:t>2014 roku = 4,18</w:t>
      </w:r>
      <w:r w:rsidR="00C43E82">
        <w:t>63</w:t>
      </w:r>
    </w:p>
    <w:p w:rsidR="00884F64" w:rsidRDefault="00884F64" w:rsidP="00884F64">
      <w:pPr>
        <w:pStyle w:val="Bezodstpw"/>
        <w:jc w:val="both"/>
      </w:pPr>
    </w:p>
    <w:p w:rsidR="00884F64" w:rsidRDefault="00C43E82" w:rsidP="00884F64">
      <w:pPr>
        <w:pStyle w:val="Bezodstpw"/>
        <w:jc w:val="both"/>
      </w:pPr>
      <w:r>
        <w:rPr>
          <w:noProof/>
        </w:rPr>
        <w:drawing>
          <wp:inline distT="0" distB="0" distL="0" distR="0">
            <wp:extent cx="3609975" cy="2181225"/>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09975" cy="2181225"/>
                    </a:xfrm>
                    <a:prstGeom prst="rect">
                      <a:avLst/>
                    </a:prstGeom>
                    <a:noFill/>
                  </pic:spPr>
                </pic:pic>
              </a:graphicData>
            </a:graphic>
          </wp:inline>
        </w:drawing>
      </w:r>
    </w:p>
    <w:p w:rsidR="00884F64" w:rsidRDefault="00884F64" w:rsidP="00884F64">
      <w:pPr>
        <w:pStyle w:val="Bezodstpw"/>
      </w:pPr>
    </w:p>
    <w:p w:rsidR="00884F64" w:rsidRDefault="00884F64" w:rsidP="00884F64">
      <w:pPr>
        <w:pStyle w:val="Bezodstpw"/>
        <w:jc w:val="both"/>
      </w:pPr>
      <w:r>
        <w:t xml:space="preserve">Kurs euro (w złotych) także znajduje się poniżej </w:t>
      </w:r>
      <w:r w:rsidRPr="00EC4DE7">
        <w:rPr>
          <w:b/>
        </w:rPr>
        <w:t>długoterminowej spadkowej linii trendu</w:t>
      </w:r>
      <w:r>
        <w:t xml:space="preserve"> poprowadzonej przez szczyty z lutego 2009 roku oraz grudnia 2011 roku. Również w tym przypadku Linia na stanowi </w:t>
      </w:r>
      <w:r w:rsidRPr="00EC4DE7">
        <w:rPr>
          <w:b/>
        </w:rPr>
        <w:t>bardzo ważny opór</w:t>
      </w:r>
      <w:r>
        <w:t xml:space="preserve">. W chwili obecnej przebiega ona na poziomie </w:t>
      </w:r>
      <w:r w:rsidRPr="00EC4DE7">
        <w:rPr>
          <w:b/>
          <w:color w:val="FF0000"/>
        </w:rPr>
        <w:t>4,2</w:t>
      </w:r>
      <w:r>
        <w:rPr>
          <w:b/>
          <w:color w:val="FF0000"/>
        </w:rPr>
        <w:t>7</w:t>
      </w:r>
      <w:r w:rsidR="00C43E82">
        <w:rPr>
          <w:b/>
          <w:color w:val="FF0000"/>
        </w:rPr>
        <w:t>0</w:t>
      </w:r>
      <w:r>
        <w:t>. W kolejnych miesiącach z natury rzeczy przebiegać będzie ona na coraz niższym poziomie – w końcu października na poziomie 4,263, w końcu listopada na poziomie 4,254, w końcu grudnia na poziomie 4,246.</w:t>
      </w:r>
      <w:r w:rsidRPr="0052647A">
        <w:t xml:space="preserve"> </w:t>
      </w:r>
      <w:r>
        <w:t xml:space="preserve">Można sądzić, że </w:t>
      </w:r>
      <w:r w:rsidRPr="004E7F4F">
        <w:rPr>
          <w:b/>
          <w:u w:val="single"/>
        </w:rPr>
        <w:t>jeszcze w tym roku</w:t>
      </w:r>
      <w:r>
        <w:t xml:space="preserve"> kurs euro (w złotych) osiągnie od dołu poziom wspomnianej długoterminowej spadkowej linii trendu. Co ciekawe </w:t>
      </w:r>
      <w:r w:rsidRPr="004E7F4F">
        <w:rPr>
          <w:b/>
          <w:u w:val="single"/>
        </w:rPr>
        <w:t xml:space="preserve">naruszona została </w:t>
      </w:r>
      <w:r w:rsidRPr="00EC4DE7">
        <w:rPr>
          <w:b/>
        </w:rPr>
        <w:t>od dołu nieco niższa linia</w:t>
      </w:r>
      <w:r>
        <w:t xml:space="preserve"> poprowadzona przez szczyty z grudnia 2011 roku oraz czerwca 2013 roku. </w:t>
      </w:r>
    </w:p>
    <w:p w:rsidR="00884F64" w:rsidRDefault="00810232" w:rsidP="00884F64">
      <w:pPr>
        <w:pStyle w:val="Bezodstpw"/>
        <w:pBdr>
          <w:top w:val="single" w:sz="4" w:space="1" w:color="auto"/>
          <w:left w:val="single" w:sz="4" w:space="4" w:color="auto"/>
          <w:bottom w:val="single" w:sz="4" w:space="1" w:color="auto"/>
          <w:right w:val="single" w:sz="4" w:space="4" w:color="auto"/>
        </w:pBdr>
        <w:jc w:val="center"/>
      </w:pPr>
      <w:r>
        <w:lastRenderedPageBreak/>
        <w:t xml:space="preserve">Indeks walutowy </w:t>
      </w:r>
      <w:r w:rsidR="00884F64">
        <w:t>Polish Basket Zloty</w:t>
      </w:r>
    </w:p>
    <w:p w:rsidR="00884F64" w:rsidRDefault="00884F64" w:rsidP="00884F64">
      <w:pPr>
        <w:pStyle w:val="Bezodstpw"/>
        <w:jc w:val="both"/>
      </w:pPr>
    </w:p>
    <w:p w:rsidR="00884F64" w:rsidRDefault="00884F64" w:rsidP="00884F64">
      <w:pPr>
        <w:pStyle w:val="Bezodstpw"/>
        <w:jc w:val="both"/>
      </w:pPr>
      <w:r>
        <w:t xml:space="preserve">Indeks walutowy </w:t>
      </w:r>
      <w:r w:rsidRPr="00721A71">
        <w:t xml:space="preserve">Polish Zloty Basket to </w:t>
      </w:r>
      <w:r>
        <w:t xml:space="preserve">wskaźnik </w:t>
      </w:r>
      <w:r w:rsidRPr="00721A71">
        <w:t xml:space="preserve">wyliczany przez </w:t>
      </w:r>
      <w:r>
        <w:t xml:space="preserve">portal internetowy </w:t>
      </w:r>
      <w:r w:rsidRPr="00B5787B">
        <w:t>Stooq, odzwierciedlający cenę euro i dolara amerykańskiego w polskich złotych w proporcji 55:45</w:t>
      </w:r>
      <w:r w:rsidRPr="00B5787B">
        <w:rPr>
          <w:u w:val="single"/>
        </w:rPr>
        <w:t>.</w:t>
      </w:r>
      <w:r w:rsidRPr="00721A71">
        <w:t xml:space="preserve"> Wartość wskaźnika wyliczana jest z sumy </w:t>
      </w:r>
      <w:r w:rsidRPr="00B5787B">
        <w:rPr>
          <w:b/>
        </w:rPr>
        <w:t xml:space="preserve">iloczynu kursu EUR/PLN i współczynnika 0.55 oraz iloczynu kursu USD/PLN i współczynnika 0.45. </w:t>
      </w:r>
      <w:r w:rsidRPr="00721A71">
        <w:t>Datą startową jest 4 stycznia 1993 roku.</w:t>
      </w:r>
      <w:r>
        <w:t xml:space="preserve"> </w:t>
      </w:r>
    </w:p>
    <w:p w:rsidR="00884F64" w:rsidRDefault="00884F64" w:rsidP="00884F64">
      <w:pPr>
        <w:pStyle w:val="Bezodstpw"/>
        <w:jc w:val="both"/>
      </w:pPr>
    </w:p>
    <w:p w:rsidR="00884F64" w:rsidRDefault="00884F64" w:rsidP="00884F64">
      <w:pPr>
        <w:pStyle w:val="Bezodstpw"/>
        <w:jc w:val="both"/>
      </w:pPr>
      <w:r>
        <w:t xml:space="preserve">Na wykresie analizowanego indeksu walutowego doszło do </w:t>
      </w:r>
      <w:r w:rsidRPr="00FF437C">
        <w:rPr>
          <w:b/>
        </w:rPr>
        <w:t xml:space="preserve">wybicia z </w:t>
      </w:r>
      <w:r w:rsidR="00810232">
        <w:rPr>
          <w:b/>
        </w:rPr>
        <w:t xml:space="preserve">bardzo dużej </w:t>
      </w:r>
      <w:r w:rsidRPr="00FF437C">
        <w:rPr>
          <w:b/>
        </w:rPr>
        <w:t>formacji podwójnego dna</w:t>
      </w:r>
      <w:r>
        <w:t xml:space="preserve">, co pokazuje wykres na tej stronie. Gdyby formacja ta miała się zrealizować oznaczałoby to wzrost indeksu walutowego </w:t>
      </w:r>
      <w:r w:rsidRPr="00721A71">
        <w:t>Polish Zloty Basket</w:t>
      </w:r>
      <w:r>
        <w:t xml:space="preserve"> </w:t>
      </w:r>
      <w:r w:rsidRPr="00BB4F68">
        <w:rPr>
          <w:b/>
          <w:color w:val="FF0000"/>
        </w:rPr>
        <w:t xml:space="preserve">o </w:t>
      </w:r>
      <w:r w:rsidR="002D2D4D">
        <w:rPr>
          <w:b/>
          <w:color w:val="FF0000"/>
        </w:rPr>
        <w:t>2</w:t>
      </w:r>
      <w:r w:rsidRPr="00BB4F68">
        <w:rPr>
          <w:b/>
          <w:color w:val="FF0000"/>
        </w:rPr>
        <w:t>,</w:t>
      </w:r>
      <w:r w:rsidR="002D2D4D">
        <w:rPr>
          <w:b/>
          <w:color w:val="FF0000"/>
        </w:rPr>
        <w:t>5</w:t>
      </w:r>
      <w:r w:rsidRPr="00BB4F68">
        <w:rPr>
          <w:b/>
          <w:color w:val="FF0000"/>
        </w:rPr>
        <w:t xml:space="preserve"> %.</w:t>
      </w:r>
      <w:r w:rsidR="002D2D4D">
        <w:rPr>
          <w:b/>
          <w:color w:val="FF0000"/>
        </w:rPr>
        <w:t xml:space="preserve"> </w:t>
      </w:r>
      <w:r>
        <w:t xml:space="preserve">Jednocześnie </w:t>
      </w:r>
      <w:r w:rsidRPr="00492715">
        <w:rPr>
          <w:u w:val="single"/>
        </w:rPr>
        <w:t>przebita została spadkowa linia trendu poprowadzona przez szczyt</w:t>
      </w:r>
      <w:r w:rsidR="00810232">
        <w:rPr>
          <w:u w:val="single"/>
        </w:rPr>
        <w:t>y</w:t>
      </w:r>
      <w:r w:rsidRPr="00492715">
        <w:rPr>
          <w:u w:val="single"/>
        </w:rPr>
        <w:t xml:space="preserve"> z lutego 2009 roku, grudnia 2011 roku</w:t>
      </w:r>
      <w:r w:rsidR="002D2D4D" w:rsidRPr="00492715">
        <w:rPr>
          <w:u w:val="single"/>
        </w:rPr>
        <w:t xml:space="preserve"> oraz </w:t>
      </w:r>
      <w:r w:rsidRPr="00492715">
        <w:rPr>
          <w:u w:val="single"/>
        </w:rPr>
        <w:t>czerwca 2012 rok</w:t>
      </w:r>
      <w:r w:rsidR="002D2D4D" w:rsidRPr="00492715">
        <w:rPr>
          <w:u w:val="single"/>
        </w:rPr>
        <w:t>u</w:t>
      </w:r>
      <w:r w:rsidR="002D2D4D">
        <w:t xml:space="preserve"> (potem jeszcze indeks zbliżył się do tej linii w lipcu 2013 roku).</w:t>
      </w:r>
    </w:p>
    <w:p w:rsidR="00C43E82" w:rsidRDefault="00C43E82" w:rsidP="00884F64">
      <w:pPr>
        <w:pStyle w:val="Bezodstpw"/>
        <w:jc w:val="both"/>
      </w:pPr>
    </w:p>
    <w:p w:rsidR="00C43E82" w:rsidRDefault="00C43E82" w:rsidP="00884F64">
      <w:pPr>
        <w:pStyle w:val="Bezodstpw"/>
        <w:jc w:val="both"/>
      </w:pPr>
      <w:r>
        <w:t xml:space="preserve">Biorąc powyższe czynniki pod uwagę można założyć, że czekają nas jeszcze wzrosty kursów walut zagranicznych (dolara w złotych oraz euro w złotych). </w:t>
      </w:r>
    </w:p>
    <w:p w:rsidR="00C43E82" w:rsidRDefault="00C43E82" w:rsidP="00884F64">
      <w:pPr>
        <w:pStyle w:val="Bezodstpw"/>
        <w:jc w:val="both"/>
      </w:pPr>
    </w:p>
    <w:p w:rsidR="00884F64" w:rsidRDefault="002D2D4D" w:rsidP="00884F64">
      <w:pPr>
        <w:pStyle w:val="Bezodstpw"/>
        <w:jc w:val="both"/>
        <w:rPr>
          <w:u w:val="single"/>
        </w:rPr>
      </w:pPr>
      <w:r>
        <w:rPr>
          <w:noProof/>
          <w:u w:val="single"/>
        </w:rPr>
        <w:drawing>
          <wp:inline distT="0" distB="0" distL="0" distR="0">
            <wp:extent cx="6000750" cy="3619500"/>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00750" cy="3619500"/>
                    </a:xfrm>
                    <a:prstGeom prst="rect">
                      <a:avLst/>
                    </a:prstGeom>
                    <a:noFill/>
                  </pic:spPr>
                </pic:pic>
              </a:graphicData>
            </a:graphic>
          </wp:inline>
        </w:drawing>
      </w:r>
    </w:p>
    <w:p w:rsidR="00884F64" w:rsidRDefault="00884F64" w:rsidP="00884F64">
      <w:pPr>
        <w:pStyle w:val="Bezodstpw"/>
        <w:jc w:val="both"/>
        <w:rPr>
          <w:u w:val="single"/>
        </w:rPr>
      </w:pPr>
    </w:p>
    <w:p w:rsidR="00884F64" w:rsidRDefault="00884F64" w:rsidP="00884F64">
      <w:pPr>
        <w:pStyle w:val="Bezodstpw"/>
        <w:pBdr>
          <w:top w:val="single" w:sz="4" w:space="1" w:color="auto"/>
          <w:left w:val="single" w:sz="4" w:space="4" w:color="auto"/>
          <w:bottom w:val="single" w:sz="4" w:space="1" w:color="auto"/>
          <w:right w:val="single" w:sz="4" w:space="4" w:color="auto"/>
        </w:pBdr>
        <w:jc w:val="center"/>
        <w:rPr>
          <w:noProof/>
        </w:rPr>
      </w:pPr>
      <w:r>
        <w:rPr>
          <w:noProof/>
        </w:rPr>
        <w:t>Cykl prezydencki a sytuacja na polskim rynku akcji</w:t>
      </w:r>
    </w:p>
    <w:p w:rsidR="00884F64" w:rsidRDefault="00884F64" w:rsidP="00884F64">
      <w:pPr>
        <w:pStyle w:val="Bezodstpw"/>
        <w:jc w:val="both"/>
        <w:rPr>
          <w:noProof/>
        </w:rPr>
      </w:pPr>
    </w:p>
    <w:p w:rsidR="00884F64" w:rsidRDefault="00884F64" w:rsidP="00884F64">
      <w:pPr>
        <w:pStyle w:val="Bezodstpw"/>
        <w:jc w:val="both"/>
        <w:rPr>
          <w:noProof/>
        </w:rPr>
      </w:pPr>
      <w:r>
        <w:rPr>
          <w:noProof/>
        </w:rPr>
        <w:t>W poprzednim numerze ,,Raportu Tygodniowego” wskazałem na czery podstawowe argumenty przemawiające za zbliżaniem się długoterminoweh hossy na polskim rynku akcji w segmencie akcji dużych spółek. Warto przypomnieć, że argumenty te brzmiały następująco:</w:t>
      </w:r>
    </w:p>
    <w:p w:rsidR="00884F64" w:rsidRDefault="00884F64" w:rsidP="00884F64">
      <w:pPr>
        <w:pStyle w:val="Bezodstpw"/>
        <w:jc w:val="both"/>
      </w:pPr>
    </w:p>
    <w:p w:rsidR="00884F64" w:rsidRDefault="00884F64" w:rsidP="00884F64">
      <w:pPr>
        <w:pStyle w:val="Bezodstpw"/>
        <w:numPr>
          <w:ilvl w:val="0"/>
          <w:numId w:val="2"/>
        </w:numPr>
        <w:jc w:val="both"/>
        <w:rPr>
          <w:b/>
        </w:rPr>
      </w:pPr>
      <w:r>
        <w:t xml:space="preserve">Po pierwsze w końcu października 2014 roku (w końcu października drugiego roku po wyborach prezydenckich w USA) rozpoczyna się statystycznie </w:t>
      </w:r>
      <w:r w:rsidRPr="0035481E">
        <w:rPr>
          <w:b/>
        </w:rPr>
        <w:t>bardzo korzystna</w:t>
      </w:r>
      <w:r>
        <w:t xml:space="preserve"> dla posiadaczy akcji </w:t>
      </w:r>
      <w:r w:rsidRPr="0035481E">
        <w:rPr>
          <w:b/>
        </w:rPr>
        <w:t xml:space="preserve">faza czteroletniego cyklu prezydenckiego w USA. </w:t>
      </w:r>
    </w:p>
    <w:p w:rsidR="00884F64" w:rsidRDefault="00884F64" w:rsidP="00884F64">
      <w:pPr>
        <w:pStyle w:val="Bezodstpw"/>
        <w:jc w:val="both"/>
        <w:rPr>
          <w:b/>
        </w:rPr>
      </w:pPr>
    </w:p>
    <w:p w:rsidR="00884F64" w:rsidRDefault="00884F64" w:rsidP="00884F64">
      <w:pPr>
        <w:pStyle w:val="Bezodstpw"/>
        <w:numPr>
          <w:ilvl w:val="0"/>
          <w:numId w:val="2"/>
        </w:numPr>
        <w:jc w:val="both"/>
      </w:pPr>
      <w:r>
        <w:t xml:space="preserve">Po drugie: wszelkie krachy na polskim rynku akcji (ten rozpoczęty na wiosnę 1994 roku, ten rozpoczęty na wiosnę 2000 roku oraz ten rozpoczęty na przełomie 2007 oraz 2008 roku) rozpoczynały się od silnego przewartościowania cen akcji pod względem wskaźnika C/WK </w:t>
      </w:r>
      <w:r>
        <w:lastRenderedPageBreak/>
        <w:t xml:space="preserve">(cena do wartości księgowej przekraczała wyraźnie 2,0). Takiego </w:t>
      </w:r>
      <w:r w:rsidRPr="0035481E">
        <w:rPr>
          <w:b/>
        </w:rPr>
        <w:t xml:space="preserve">przewartościowania </w:t>
      </w:r>
      <w:r>
        <w:t xml:space="preserve">obecnie </w:t>
      </w:r>
      <w:r w:rsidRPr="0035481E">
        <w:rPr>
          <w:b/>
        </w:rPr>
        <w:t xml:space="preserve">na ma. </w:t>
      </w:r>
      <w:r>
        <w:rPr>
          <w:b/>
        </w:rPr>
        <w:t xml:space="preserve">Poziom wskaźnika </w:t>
      </w:r>
      <w:r w:rsidRPr="0035481E">
        <w:rPr>
          <w:b/>
        </w:rPr>
        <w:t>C/WK wynosi 1,1.</w:t>
      </w:r>
      <w:r>
        <w:t xml:space="preserve"> </w:t>
      </w:r>
    </w:p>
    <w:p w:rsidR="00884F64" w:rsidRDefault="00884F64" w:rsidP="00884F64">
      <w:pPr>
        <w:pStyle w:val="Bezodstpw"/>
        <w:jc w:val="both"/>
      </w:pPr>
    </w:p>
    <w:p w:rsidR="00884F64" w:rsidRDefault="00884F64" w:rsidP="00884F64">
      <w:pPr>
        <w:pStyle w:val="Bezodstpw"/>
        <w:numPr>
          <w:ilvl w:val="0"/>
          <w:numId w:val="2"/>
        </w:numPr>
        <w:jc w:val="both"/>
      </w:pPr>
      <w:r>
        <w:t xml:space="preserve">Po trzecie: na świecie mamy do czynienia z trwającą </w:t>
      </w:r>
      <w:r w:rsidRPr="0035481E">
        <w:rPr>
          <w:b/>
        </w:rPr>
        <w:t>fazą łagodnej polityki pieniężnej</w:t>
      </w:r>
      <w:r>
        <w:t xml:space="preserve">. </w:t>
      </w:r>
    </w:p>
    <w:p w:rsidR="00884F64" w:rsidRDefault="00884F64" w:rsidP="00884F64">
      <w:pPr>
        <w:pStyle w:val="Bezodstpw"/>
        <w:jc w:val="both"/>
      </w:pPr>
    </w:p>
    <w:p w:rsidR="00884F64" w:rsidRDefault="00884F64" w:rsidP="00884F64">
      <w:pPr>
        <w:pStyle w:val="Bezodstpw"/>
        <w:numPr>
          <w:ilvl w:val="0"/>
          <w:numId w:val="2"/>
        </w:numPr>
        <w:jc w:val="both"/>
      </w:pPr>
      <w:r>
        <w:t xml:space="preserve">Po czwarte: spadające ceny surowców oraz umacniający się dolar (wobec euro) zmniejszają presję inflacyjną w USA, co prawdopodobnie pozwoli dalej utrzymać stopy procentowe na niskim poziomie </w:t>
      </w:r>
      <w:r w:rsidRPr="0035481E">
        <w:rPr>
          <w:b/>
        </w:rPr>
        <w:t>zwiększając skłonność do podejmowania ryzyka na rynkach światowych</w:t>
      </w:r>
      <w:r>
        <w:t xml:space="preserve">. </w:t>
      </w:r>
    </w:p>
    <w:p w:rsidR="00884F64" w:rsidRDefault="00884F64" w:rsidP="00884F64">
      <w:pPr>
        <w:pStyle w:val="Bezodstpw"/>
        <w:jc w:val="both"/>
      </w:pPr>
    </w:p>
    <w:p w:rsidR="00884F64" w:rsidRDefault="00884F64" w:rsidP="00884F64">
      <w:pPr>
        <w:pStyle w:val="Bezodstpw"/>
        <w:jc w:val="both"/>
      </w:pPr>
      <w:r>
        <w:t>W niniejszym ,,Raporcie” chciałbym skoncentrować się na punkcie pierwszym</w:t>
      </w:r>
    </w:p>
    <w:p w:rsidR="00884F64" w:rsidRDefault="00884F64" w:rsidP="00884F64">
      <w:pPr>
        <w:pStyle w:val="Bezodstpw"/>
        <w:jc w:val="both"/>
      </w:pPr>
    </w:p>
    <w:p w:rsidR="00884F64" w:rsidRPr="00810232" w:rsidRDefault="00884F64" w:rsidP="00884F64">
      <w:pPr>
        <w:pStyle w:val="Bezodstpw"/>
        <w:jc w:val="both"/>
        <w:rPr>
          <w:b/>
          <w:u w:val="single"/>
        </w:rPr>
      </w:pPr>
      <w:r>
        <w:t xml:space="preserve">Czym jest ów cykl prezydencki w USA ? Jest to ogólnie rzez biorąc prawidłowość polegająca na tym, że w roku wyborczym stan gospodarki jest relatywnie najlepszy w stosunku do pozostałych lat cyklu prezydenckiego a ponieważ sytuacja na rynku akcji w roku T (jak pokazują to badania dr hab. Eryka Łona z Uniwersytetu Ekonomicznego w Poznaniu) jest silnie pozytywnie skorelowana z realną zmianą PKB w roku T+1) to można oczekiwać, że </w:t>
      </w:r>
      <w:r w:rsidRPr="00810232">
        <w:rPr>
          <w:b/>
          <w:u w:val="single"/>
        </w:rPr>
        <w:t xml:space="preserve">relatywnie bardzo korzystny dla posiadaczy akcji będzie rok przedwyborczy. </w:t>
      </w:r>
    </w:p>
    <w:p w:rsidR="00884F64" w:rsidRDefault="00884F64" w:rsidP="00884F64">
      <w:pPr>
        <w:pStyle w:val="Bezodstpw"/>
        <w:jc w:val="both"/>
      </w:pPr>
    </w:p>
    <w:p w:rsidR="00884F64" w:rsidRDefault="00884F64" w:rsidP="00884F64">
      <w:pPr>
        <w:pStyle w:val="Bezodstpw"/>
        <w:jc w:val="both"/>
      </w:pPr>
      <w:r>
        <w:t>Aby przekonać się o istocie powyższej prawidłowości można na przykład zaprezentować średni  poziom stop</w:t>
      </w:r>
      <w:r w:rsidR="00A23A40">
        <w:t xml:space="preserve">y zwrotu z indeksu </w:t>
      </w:r>
      <w:proofErr w:type="spellStart"/>
      <w:r w:rsidR="00A23A40">
        <w:t>S&amp;P</w:t>
      </w:r>
      <w:proofErr w:type="spellEnd"/>
      <w:r w:rsidR="00A23A40">
        <w:t xml:space="preserve"> 500 </w:t>
      </w:r>
      <w:r>
        <w:t xml:space="preserve"> w poszczególnych latach cyklu prezydenckiego. </w:t>
      </w:r>
    </w:p>
    <w:p w:rsidR="00810232" w:rsidRDefault="00810232" w:rsidP="00884F64">
      <w:pPr>
        <w:pStyle w:val="Bezodstpw"/>
        <w:jc w:val="both"/>
      </w:pPr>
    </w:p>
    <w:tbl>
      <w:tblPr>
        <w:tblStyle w:val="Tabela-Siatka"/>
        <w:tblW w:w="0" w:type="auto"/>
        <w:tblLook w:val="04A0"/>
      </w:tblPr>
      <w:tblGrid>
        <w:gridCol w:w="4605"/>
        <w:gridCol w:w="4605"/>
      </w:tblGrid>
      <w:tr w:rsidR="00810232" w:rsidTr="004E1B8B">
        <w:tc>
          <w:tcPr>
            <w:tcW w:w="4605" w:type="dxa"/>
          </w:tcPr>
          <w:p w:rsidR="00810232" w:rsidRDefault="00810232" w:rsidP="004E1B8B">
            <w:pPr>
              <w:pStyle w:val="Bezodstpw"/>
              <w:jc w:val="center"/>
            </w:pPr>
            <w:r>
              <w:t>Rok cyklu prezydenckiego w USA</w:t>
            </w:r>
          </w:p>
        </w:tc>
        <w:tc>
          <w:tcPr>
            <w:tcW w:w="4605" w:type="dxa"/>
          </w:tcPr>
          <w:p w:rsidR="00810232" w:rsidRDefault="00810232" w:rsidP="004E1B8B">
            <w:pPr>
              <w:pStyle w:val="Bezodstpw"/>
              <w:jc w:val="center"/>
            </w:pPr>
            <w:r>
              <w:t xml:space="preserve">Średnia stopa zwrotu z indeksu </w:t>
            </w:r>
            <w:proofErr w:type="spellStart"/>
            <w:r>
              <w:t>S&amp;P</w:t>
            </w:r>
            <w:proofErr w:type="spellEnd"/>
            <w:r>
              <w:t xml:space="preserve"> 500 </w:t>
            </w:r>
          </w:p>
        </w:tc>
      </w:tr>
      <w:tr w:rsidR="00810232" w:rsidTr="004E1B8B">
        <w:tc>
          <w:tcPr>
            <w:tcW w:w="4605" w:type="dxa"/>
          </w:tcPr>
          <w:p w:rsidR="00810232" w:rsidRDefault="00810232" w:rsidP="004E1B8B">
            <w:pPr>
              <w:pStyle w:val="Bezodstpw"/>
              <w:jc w:val="center"/>
            </w:pPr>
            <w:r>
              <w:t>Rok pierwszy</w:t>
            </w:r>
          </w:p>
        </w:tc>
        <w:tc>
          <w:tcPr>
            <w:tcW w:w="4605" w:type="dxa"/>
          </w:tcPr>
          <w:p w:rsidR="00810232" w:rsidRDefault="00810232" w:rsidP="004E1B8B">
            <w:pPr>
              <w:pStyle w:val="Bezodstpw"/>
              <w:jc w:val="center"/>
            </w:pPr>
            <w:r>
              <w:t xml:space="preserve">  +8,7 %</w:t>
            </w:r>
          </w:p>
        </w:tc>
      </w:tr>
      <w:tr w:rsidR="00810232" w:rsidTr="004E1B8B">
        <w:tc>
          <w:tcPr>
            <w:tcW w:w="4605" w:type="dxa"/>
          </w:tcPr>
          <w:p w:rsidR="00810232" w:rsidRDefault="00810232" w:rsidP="004E1B8B">
            <w:pPr>
              <w:pStyle w:val="Bezodstpw"/>
              <w:jc w:val="center"/>
            </w:pPr>
            <w:r>
              <w:t>Rok drugi</w:t>
            </w:r>
          </w:p>
        </w:tc>
        <w:tc>
          <w:tcPr>
            <w:tcW w:w="4605" w:type="dxa"/>
          </w:tcPr>
          <w:p w:rsidR="00810232" w:rsidRDefault="00810232" w:rsidP="004E1B8B">
            <w:pPr>
              <w:pStyle w:val="Bezodstpw"/>
              <w:jc w:val="center"/>
            </w:pPr>
            <w:r>
              <w:t xml:space="preserve">  +2,2 %</w:t>
            </w:r>
          </w:p>
        </w:tc>
      </w:tr>
      <w:tr w:rsidR="00810232" w:rsidTr="004E1B8B">
        <w:tc>
          <w:tcPr>
            <w:tcW w:w="4605" w:type="dxa"/>
          </w:tcPr>
          <w:p w:rsidR="00810232" w:rsidRDefault="00810232" w:rsidP="004E1B8B">
            <w:pPr>
              <w:pStyle w:val="Bezodstpw"/>
              <w:jc w:val="center"/>
            </w:pPr>
            <w:r>
              <w:t>Rok trzeci</w:t>
            </w:r>
          </w:p>
        </w:tc>
        <w:tc>
          <w:tcPr>
            <w:tcW w:w="4605" w:type="dxa"/>
          </w:tcPr>
          <w:p w:rsidR="00810232" w:rsidRDefault="00810232" w:rsidP="004E1B8B">
            <w:pPr>
              <w:pStyle w:val="Bezodstpw"/>
              <w:jc w:val="center"/>
            </w:pPr>
            <w:r>
              <w:t>+16,7 %</w:t>
            </w:r>
          </w:p>
        </w:tc>
      </w:tr>
      <w:tr w:rsidR="00810232" w:rsidTr="004E1B8B">
        <w:tc>
          <w:tcPr>
            <w:tcW w:w="4605" w:type="dxa"/>
          </w:tcPr>
          <w:p w:rsidR="00810232" w:rsidRDefault="00810232" w:rsidP="004E1B8B">
            <w:pPr>
              <w:pStyle w:val="Bezodstpw"/>
              <w:jc w:val="center"/>
            </w:pPr>
            <w:r>
              <w:t>Rok czwarty</w:t>
            </w:r>
          </w:p>
        </w:tc>
        <w:tc>
          <w:tcPr>
            <w:tcW w:w="4605" w:type="dxa"/>
          </w:tcPr>
          <w:p w:rsidR="00810232" w:rsidRDefault="00810232" w:rsidP="004E1B8B">
            <w:pPr>
              <w:pStyle w:val="Bezodstpw"/>
              <w:jc w:val="center"/>
            </w:pPr>
            <w:r>
              <w:t xml:space="preserve">  +6,6 %</w:t>
            </w:r>
          </w:p>
        </w:tc>
      </w:tr>
    </w:tbl>
    <w:p w:rsidR="00884F64" w:rsidRDefault="00884F64" w:rsidP="00884F64">
      <w:pPr>
        <w:pStyle w:val="Bezodstpw"/>
        <w:jc w:val="both"/>
      </w:pPr>
    </w:p>
    <w:p w:rsidR="00884F64" w:rsidRDefault="00884F64" w:rsidP="00884F64">
      <w:pPr>
        <w:pStyle w:val="Bezodstpw"/>
        <w:jc w:val="both"/>
      </w:pPr>
      <w:r>
        <w:t>Przez rok pierwszy rozumie się rok bezpośrednio następujący po poprzednich wyborach (n</w:t>
      </w:r>
      <w:r w:rsidR="002A54A1">
        <w:t xml:space="preserve">p. tak można określić rok 2013). </w:t>
      </w:r>
      <w:r>
        <w:t>Przez rok drugi rozumie się drugi rok po poprzednich wyborach (np. rok 2014)</w:t>
      </w:r>
      <w:r w:rsidR="002A54A1">
        <w:t xml:space="preserve">. </w:t>
      </w:r>
      <w:r>
        <w:t>Przez rok trzeci rozumie się rok przedwyborczy (np. rok 2015)</w:t>
      </w:r>
      <w:r w:rsidR="002A54A1">
        <w:t xml:space="preserve">. </w:t>
      </w:r>
      <w:r>
        <w:t>Przez rok czwarty rozumie się rok wyborczy (np. rok 2016)</w:t>
      </w:r>
    </w:p>
    <w:p w:rsidR="00884F64" w:rsidRDefault="00884F64" w:rsidP="00884F64">
      <w:pPr>
        <w:pStyle w:val="Bezodstpw"/>
        <w:jc w:val="both"/>
      </w:pPr>
    </w:p>
    <w:p w:rsidR="00884F64" w:rsidRDefault="00884F64" w:rsidP="00884F64">
      <w:pPr>
        <w:pStyle w:val="Bezodstpw"/>
        <w:jc w:val="both"/>
      </w:pPr>
      <w:r>
        <w:t>Skoro więc wchodzimy niedługo w rok przedwyborczy (czyli w rok 2015) to można oczekiwać, że wchodzi</w:t>
      </w:r>
      <w:r w:rsidR="00810232">
        <w:t>my</w:t>
      </w:r>
      <w:r>
        <w:t xml:space="preserve"> w rok, który powinien być stosunkowo korzystny dla posiadaczy akcji w USA. </w:t>
      </w:r>
      <w:r w:rsidR="006A52F3">
        <w:t>Tak faktycznie z reguły się dzieje.</w:t>
      </w:r>
      <w:r w:rsidR="00810232">
        <w:t xml:space="preserve"> Prezentuje to powyższa</w:t>
      </w:r>
      <w:r w:rsidR="00C07EB0">
        <w:t xml:space="preserve"> tabela stworzona dla okresu 1971-2013</w:t>
      </w:r>
    </w:p>
    <w:p w:rsidR="006A52F3" w:rsidRDefault="006A52F3" w:rsidP="00884F64">
      <w:pPr>
        <w:pStyle w:val="Bezodstpw"/>
        <w:jc w:val="both"/>
      </w:pPr>
    </w:p>
    <w:p w:rsidR="00884F64" w:rsidRDefault="00884F64" w:rsidP="00884F64">
      <w:pPr>
        <w:pStyle w:val="Bezodstpw"/>
        <w:jc w:val="both"/>
      </w:pPr>
      <w:r>
        <w:t>Można też zauważyć, że z sezonowego punktu widzenia korzystny dla posiadaczy akcji jest okres przełomu roku (</w:t>
      </w:r>
      <w:r w:rsidRPr="00810232">
        <w:rPr>
          <w:b/>
          <w:u w:val="single"/>
        </w:rPr>
        <w:t>od końca października roku T do końca kwietnia roku T+1</w:t>
      </w:r>
      <w:r>
        <w:t xml:space="preserve">). </w:t>
      </w:r>
    </w:p>
    <w:p w:rsidR="002A54A1" w:rsidRDefault="002A54A1" w:rsidP="00884F64">
      <w:pPr>
        <w:pStyle w:val="Bezodstpw"/>
        <w:jc w:val="both"/>
      </w:pPr>
    </w:p>
    <w:p w:rsidR="00884F64" w:rsidRDefault="00884F64" w:rsidP="00884F64">
      <w:pPr>
        <w:pStyle w:val="Bezodstpw"/>
        <w:jc w:val="both"/>
      </w:pPr>
      <w:r>
        <w:t xml:space="preserve">Biorąc to pod uwagę można założyć, że </w:t>
      </w:r>
      <w:r w:rsidR="00810232" w:rsidRPr="00810232">
        <w:rPr>
          <w:b/>
        </w:rPr>
        <w:t xml:space="preserve">szczególnie </w:t>
      </w:r>
      <w:r w:rsidRPr="00810232">
        <w:rPr>
          <w:b/>
        </w:rPr>
        <w:t>korzystny</w:t>
      </w:r>
      <w:r>
        <w:t xml:space="preserve"> dla posiadaczy akcji powinien być okres pomiędzy końcem października roku 2014 w USA a końcem kwie</w:t>
      </w:r>
      <w:r w:rsidR="00810232">
        <w:t>tnia 2015 roku.</w:t>
      </w:r>
    </w:p>
    <w:p w:rsidR="002A54A1" w:rsidRDefault="002A54A1" w:rsidP="00884F64">
      <w:pPr>
        <w:pStyle w:val="Bezodstpw"/>
        <w:jc w:val="both"/>
      </w:pPr>
    </w:p>
    <w:p w:rsidR="002A54A1" w:rsidRDefault="00810232" w:rsidP="00884F64">
      <w:pPr>
        <w:pStyle w:val="Bezodstpw"/>
        <w:jc w:val="both"/>
      </w:pPr>
      <w:r>
        <w:t>Wśród praktyków rynku kapitałowego g</w:t>
      </w:r>
      <w:r w:rsidR="002A54A1">
        <w:t xml:space="preserve">odnym polecenia znawcą tematyki amerykańskiego cyklu prezydenckiego jest Wojciech Białek, którego teksty warto wnikliwie analizować. Poniżej podaję link do jego wpisu na </w:t>
      </w:r>
      <w:proofErr w:type="spellStart"/>
      <w:r w:rsidR="002A54A1">
        <w:t>blogu</w:t>
      </w:r>
      <w:proofErr w:type="spellEnd"/>
      <w:r w:rsidR="002A54A1">
        <w:t xml:space="preserve"> oraz link do pliku video z wykładem Wojciecha Białka poświęconym tej ważnej tematyce: </w:t>
      </w:r>
    </w:p>
    <w:p w:rsidR="002A54A1" w:rsidRDefault="002A54A1" w:rsidP="00884F64">
      <w:pPr>
        <w:pStyle w:val="Bezodstpw"/>
        <w:jc w:val="both"/>
      </w:pPr>
    </w:p>
    <w:p w:rsidR="002A54A1" w:rsidRDefault="00870CC7" w:rsidP="00884F64">
      <w:pPr>
        <w:pStyle w:val="Bezodstpw"/>
        <w:jc w:val="both"/>
      </w:pPr>
      <w:hyperlink r:id="rId10" w:history="1">
        <w:r w:rsidR="002A54A1" w:rsidRPr="002E0D0B">
          <w:rPr>
            <w:rStyle w:val="Hipercze"/>
          </w:rPr>
          <w:t>http://wojciechbialek.blox.pl/2010/12/Co-wynika-z-cyklu-prezydenckiego.html</w:t>
        </w:r>
      </w:hyperlink>
    </w:p>
    <w:p w:rsidR="002A54A1" w:rsidRDefault="002A54A1" w:rsidP="00884F64">
      <w:pPr>
        <w:pStyle w:val="Bezodstpw"/>
        <w:jc w:val="both"/>
      </w:pPr>
    </w:p>
    <w:p w:rsidR="002A54A1" w:rsidRDefault="00870CC7" w:rsidP="00884F64">
      <w:pPr>
        <w:pStyle w:val="Bezodstpw"/>
        <w:jc w:val="both"/>
      </w:pPr>
      <w:hyperlink r:id="rId11" w:history="1">
        <w:r w:rsidR="002A54A1" w:rsidRPr="002E0D0B">
          <w:rPr>
            <w:rStyle w:val="Hipercze"/>
          </w:rPr>
          <w:t>http://www.youtube.com/watch?v=5rZZsB0aiH8</w:t>
        </w:r>
      </w:hyperlink>
    </w:p>
    <w:p w:rsidR="00810232" w:rsidRDefault="00810232" w:rsidP="00884F64">
      <w:pPr>
        <w:pStyle w:val="Bezodstpw"/>
        <w:jc w:val="both"/>
      </w:pPr>
    </w:p>
    <w:p w:rsidR="00884F64" w:rsidRDefault="00884F64" w:rsidP="00884F64">
      <w:pPr>
        <w:pStyle w:val="Bezodstpw"/>
        <w:jc w:val="both"/>
      </w:pPr>
      <w:r>
        <w:lastRenderedPageBreak/>
        <w:t xml:space="preserve">Teraz powstaje pytanie: czy cykl ten sprawdzi się i tym razem w USA a ponadto jak wpłynie on na zachowanie indeksów opisujących sytuację na polskim rynku akcji. </w:t>
      </w:r>
    </w:p>
    <w:p w:rsidR="00884F64" w:rsidRDefault="00884F64" w:rsidP="00884F64">
      <w:pPr>
        <w:pStyle w:val="Bezodstpw"/>
        <w:jc w:val="both"/>
      </w:pPr>
    </w:p>
    <w:p w:rsidR="00884F64" w:rsidRDefault="00884F64" w:rsidP="00884F64">
      <w:pPr>
        <w:pStyle w:val="Bezodstpw"/>
        <w:jc w:val="both"/>
      </w:pPr>
      <w:r>
        <w:t xml:space="preserve">Przede wszystkim trzeba zauważyć, że pewności tu nie ma żadnej. Przewidywanie obarczone jest bowiem ryzykiem. </w:t>
      </w:r>
    </w:p>
    <w:p w:rsidR="00884F64" w:rsidRDefault="00884F64" w:rsidP="00884F64">
      <w:pPr>
        <w:pStyle w:val="Bezodstpw"/>
        <w:jc w:val="both"/>
      </w:pPr>
    </w:p>
    <w:p w:rsidR="00884F64" w:rsidRDefault="00884F64" w:rsidP="00884F64">
      <w:pPr>
        <w:pStyle w:val="Bezodstpw"/>
        <w:jc w:val="both"/>
      </w:pPr>
      <w:r>
        <w:t xml:space="preserve">Mimo wszystko jednak warto w celach edukacyjnych zaprezentować pewne związku pomiędzy zachowaniem cyklu prezydenckiego w USA a zachowaniem sytuacji na polskim rynku akcji. </w:t>
      </w:r>
    </w:p>
    <w:p w:rsidR="00884F64" w:rsidRDefault="00884F64" w:rsidP="00884F64">
      <w:pPr>
        <w:pStyle w:val="Bezodstpw"/>
        <w:jc w:val="both"/>
      </w:pPr>
    </w:p>
    <w:p w:rsidR="00884F64" w:rsidRDefault="00884F64" w:rsidP="00884F64">
      <w:pPr>
        <w:pStyle w:val="Bezodstpw"/>
        <w:jc w:val="both"/>
      </w:pPr>
      <w:r>
        <w:t xml:space="preserve">Tabela: </w:t>
      </w:r>
      <w:r w:rsidRPr="003846E0">
        <w:rPr>
          <w:b/>
          <w:u w:val="single"/>
        </w:rPr>
        <w:t>Duże spółki na GPW w Warszawie</w:t>
      </w:r>
      <w:r>
        <w:t xml:space="preserve">.  Procentowa zmiana indeksu WIG 20 w okresie pomiędzy końcem października drugiego roku po wyborach w USA a końcem kwietnia roku przedwyborczego w USA. </w:t>
      </w:r>
    </w:p>
    <w:p w:rsidR="00884F64" w:rsidRDefault="00884F64" w:rsidP="00884F64">
      <w:pPr>
        <w:pStyle w:val="Bezodstpw"/>
        <w:jc w:val="both"/>
      </w:pPr>
    </w:p>
    <w:tbl>
      <w:tblPr>
        <w:tblStyle w:val="Tabela-Siatka"/>
        <w:tblW w:w="0" w:type="auto"/>
        <w:tblLook w:val="04A0"/>
      </w:tblPr>
      <w:tblGrid>
        <w:gridCol w:w="4606"/>
        <w:gridCol w:w="4606"/>
      </w:tblGrid>
      <w:tr w:rsidR="00884F64" w:rsidTr="008022C0">
        <w:tc>
          <w:tcPr>
            <w:tcW w:w="4606" w:type="dxa"/>
          </w:tcPr>
          <w:p w:rsidR="00884F64" w:rsidRDefault="00810232" w:rsidP="00810232">
            <w:pPr>
              <w:pStyle w:val="Bezodstpw"/>
              <w:jc w:val="center"/>
            </w:pPr>
            <w:r>
              <w:t>Koniec X</w:t>
            </w:r>
            <w:r w:rsidR="00884F64">
              <w:t xml:space="preserve"> 1994 – koniec </w:t>
            </w:r>
            <w:r>
              <w:t>IV</w:t>
            </w:r>
            <w:r w:rsidR="00884F64">
              <w:t xml:space="preserve"> 1995</w:t>
            </w:r>
          </w:p>
        </w:tc>
        <w:tc>
          <w:tcPr>
            <w:tcW w:w="4606" w:type="dxa"/>
          </w:tcPr>
          <w:p w:rsidR="00884F64" w:rsidRDefault="00884F64" w:rsidP="008022C0">
            <w:pPr>
              <w:pStyle w:val="Bezodstpw"/>
              <w:jc w:val="center"/>
            </w:pPr>
            <w:r>
              <w:t>+11,7 %</w:t>
            </w:r>
          </w:p>
        </w:tc>
      </w:tr>
      <w:tr w:rsidR="00884F64" w:rsidTr="008022C0">
        <w:tc>
          <w:tcPr>
            <w:tcW w:w="4606" w:type="dxa"/>
          </w:tcPr>
          <w:p w:rsidR="00884F64" w:rsidRDefault="00884F64" w:rsidP="00810232">
            <w:pPr>
              <w:pStyle w:val="Bezodstpw"/>
              <w:jc w:val="center"/>
            </w:pPr>
            <w:r>
              <w:t xml:space="preserve">Koniec X 1998 – koniec </w:t>
            </w:r>
            <w:r w:rsidR="00810232">
              <w:t xml:space="preserve">IV </w:t>
            </w:r>
            <w:r>
              <w:t>1999</w:t>
            </w:r>
          </w:p>
        </w:tc>
        <w:tc>
          <w:tcPr>
            <w:tcW w:w="4606" w:type="dxa"/>
          </w:tcPr>
          <w:p w:rsidR="00884F64" w:rsidRDefault="00884F64" w:rsidP="008022C0">
            <w:pPr>
              <w:pStyle w:val="Bezodstpw"/>
              <w:jc w:val="center"/>
            </w:pPr>
            <w:r>
              <w:t>+20,7 %</w:t>
            </w:r>
          </w:p>
        </w:tc>
      </w:tr>
      <w:tr w:rsidR="00884F64" w:rsidTr="008022C0">
        <w:tc>
          <w:tcPr>
            <w:tcW w:w="4606" w:type="dxa"/>
          </w:tcPr>
          <w:p w:rsidR="00884F64" w:rsidRDefault="00884F64" w:rsidP="00810232">
            <w:pPr>
              <w:pStyle w:val="Bezodstpw"/>
              <w:jc w:val="center"/>
            </w:pPr>
            <w:r>
              <w:t xml:space="preserve">Koniec X 2002 – koniec </w:t>
            </w:r>
            <w:r w:rsidR="00810232">
              <w:t>IV</w:t>
            </w:r>
            <w:r>
              <w:t xml:space="preserve"> 2003</w:t>
            </w:r>
          </w:p>
        </w:tc>
        <w:tc>
          <w:tcPr>
            <w:tcW w:w="4606" w:type="dxa"/>
          </w:tcPr>
          <w:p w:rsidR="00884F64" w:rsidRDefault="00884F64" w:rsidP="008022C0">
            <w:pPr>
              <w:pStyle w:val="Bezodstpw"/>
              <w:jc w:val="center"/>
            </w:pPr>
            <w:r>
              <w:t xml:space="preserve">  -5,8 %</w:t>
            </w:r>
          </w:p>
        </w:tc>
      </w:tr>
      <w:tr w:rsidR="00884F64" w:rsidTr="008022C0">
        <w:tc>
          <w:tcPr>
            <w:tcW w:w="4606" w:type="dxa"/>
          </w:tcPr>
          <w:p w:rsidR="00884F64" w:rsidRDefault="00884F64" w:rsidP="00810232">
            <w:pPr>
              <w:pStyle w:val="Bezodstpw"/>
              <w:jc w:val="center"/>
            </w:pPr>
            <w:r>
              <w:t xml:space="preserve">Koniec X 2006 – koniec </w:t>
            </w:r>
            <w:r w:rsidR="00810232">
              <w:t xml:space="preserve">IV </w:t>
            </w:r>
            <w:r>
              <w:t>2007</w:t>
            </w:r>
          </w:p>
        </w:tc>
        <w:tc>
          <w:tcPr>
            <w:tcW w:w="4606" w:type="dxa"/>
          </w:tcPr>
          <w:p w:rsidR="00884F64" w:rsidRDefault="00884F64" w:rsidP="008022C0">
            <w:pPr>
              <w:pStyle w:val="Bezodstpw"/>
              <w:jc w:val="center"/>
            </w:pPr>
            <w:r>
              <w:t>+15,6 %</w:t>
            </w:r>
          </w:p>
        </w:tc>
      </w:tr>
      <w:tr w:rsidR="00884F64" w:rsidTr="008022C0">
        <w:tc>
          <w:tcPr>
            <w:tcW w:w="4606" w:type="dxa"/>
          </w:tcPr>
          <w:p w:rsidR="00884F64" w:rsidRDefault="00884F64" w:rsidP="00810232">
            <w:pPr>
              <w:pStyle w:val="Bezodstpw"/>
              <w:jc w:val="center"/>
            </w:pPr>
            <w:r>
              <w:t xml:space="preserve">Koniec X 2010  – koniec </w:t>
            </w:r>
            <w:r w:rsidR="00810232">
              <w:t>IV</w:t>
            </w:r>
            <w:r>
              <w:t xml:space="preserve"> 2011 </w:t>
            </w:r>
          </w:p>
        </w:tc>
        <w:tc>
          <w:tcPr>
            <w:tcW w:w="4606" w:type="dxa"/>
          </w:tcPr>
          <w:p w:rsidR="00884F64" w:rsidRDefault="00884F64" w:rsidP="008022C0">
            <w:pPr>
              <w:pStyle w:val="Bezodstpw"/>
              <w:jc w:val="center"/>
            </w:pPr>
            <w:r>
              <w:t xml:space="preserve">  +9,9 %</w:t>
            </w:r>
          </w:p>
        </w:tc>
      </w:tr>
      <w:tr w:rsidR="00884F64" w:rsidTr="008022C0">
        <w:tc>
          <w:tcPr>
            <w:tcW w:w="4606" w:type="dxa"/>
          </w:tcPr>
          <w:p w:rsidR="00884F64" w:rsidRPr="00977F23" w:rsidRDefault="00884F64" w:rsidP="008022C0">
            <w:pPr>
              <w:pStyle w:val="Bezodstpw"/>
              <w:rPr>
                <w:b/>
                <w:color w:val="FF0000"/>
              </w:rPr>
            </w:pPr>
            <w:r w:rsidRPr="00977F23">
              <w:rPr>
                <w:b/>
                <w:color w:val="FF0000"/>
              </w:rPr>
              <w:t xml:space="preserve">          Średnio</w:t>
            </w:r>
          </w:p>
        </w:tc>
        <w:tc>
          <w:tcPr>
            <w:tcW w:w="4606" w:type="dxa"/>
          </w:tcPr>
          <w:p w:rsidR="00884F64" w:rsidRPr="00977F23" w:rsidRDefault="00884F64" w:rsidP="008022C0">
            <w:pPr>
              <w:pStyle w:val="Bezodstpw"/>
              <w:jc w:val="center"/>
              <w:rPr>
                <w:b/>
                <w:color w:val="FF0000"/>
              </w:rPr>
            </w:pPr>
            <w:r w:rsidRPr="00977F23">
              <w:rPr>
                <w:b/>
                <w:color w:val="FF0000"/>
              </w:rPr>
              <w:t xml:space="preserve">+10,4 % </w:t>
            </w:r>
          </w:p>
        </w:tc>
      </w:tr>
    </w:tbl>
    <w:p w:rsidR="00884F64" w:rsidRDefault="00884F64" w:rsidP="00884F64">
      <w:pPr>
        <w:pStyle w:val="Bezodstpw"/>
        <w:jc w:val="both"/>
      </w:pPr>
    </w:p>
    <w:p w:rsidR="00884F64" w:rsidRDefault="00884F64" w:rsidP="00884F64">
      <w:pPr>
        <w:pStyle w:val="Bezodstpw"/>
        <w:jc w:val="both"/>
      </w:pPr>
    </w:p>
    <w:p w:rsidR="00884F64" w:rsidRDefault="00884F64" w:rsidP="00884F64">
      <w:pPr>
        <w:pStyle w:val="Bezodstpw"/>
        <w:jc w:val="both"/>
      </w:pPr>
      <w:r>
        <w:t xml:space="preserve">Tabela: </w:t>
      </w:r>
      <w:r w:rsidRPr="003846E0">
        <w:rPr>
          <w:b/>
          <w:u w:val="single"/>
        </w:rPr>
        <w:t>Średnie spółki na GPW w Warszawie</w:t>
      </w:r>
      <w:r>
        <w:t xml:space="preserve">. Procentowa zmiana indeksu WIG 50 w okresie pomiędzy końcem października drugiego roku po wyborach w USA a końcem kwietnia roku przedwyborczego w USA. </w:t>
      </w:r>
    </w:p>
    <w:p w:rsidR="00884F64" w:rsidRDefault="00884F64" w:rsidP="00884F64">
      <w:pPr>
        <w:pStyle w:val="Bezodstpw"/>
        <w:jc w:val="both"/>
      </w:pPr>
    </w:p>
    <w:tbl>
      <w:tblPr>
        <w:tblStyle w:val="Tabela-Siatka"/>
        <w:tblW w:w="0" w:type="auto"/>
        <w:tblLook w:val="04A0"/>
      </w:tblPr>
      <w:tblGrid>
        <w:gridCol w:w="4606"/>
        <w:gridCol w:w="4606"/>
      </w:tblGrid>
      <w:tr w:rsidR="00884F64" w:rsidTr="008022C0">
        <w:tc>
          <w:tcPr>
            <w:tcW w:w="4606" w:type="dxa"/>
          </w:tcPr>
          <w:p w:rsidR="00884F64" w:rsidRDefault="00884F64" w:rsidP="00810232">
            <w:pPr>
              <w:pStyle w:val="Bezodstpw"/>
              <w:jc w:val="center"/>
            </w:pPr>
            <w:r>
              <w:t xml:space="preserve">Koniec X 1998 – koniec </w:t>
            </w:r>
            <w:r w:rsidR="00810232">
              <w:t xml:space="preserve">IV </w:t>
            </w:r>
            <w:r>
              <w:t>1999</w:t>
            </w:r>
          </w:p>
        </w:tc>
        <w:tc>
          <w:tcPr>
            <w:tcW w:w="4606" w:type="dxa"/>
          </w:tcPr>
          <w:p w:rsidR="00884F64" w:rsidRDefault="00884F64" w:rsidP="008022C0">
            <w:pPr>
              <w:pStyle w:val="Bezodstpw"/>
              <w:jc w:val="center"/>
            </w:pPr>
            <w:r>
              <w:t>+22,1 %</w:t>
            </w:r>
          </w:p>
        </w:tc>
      </w:tr>
      <w:tr w:rsidR="00884F64" w:rsidTr="008022C0">
        <w:tc>
          <w:tcPr>
            <w:tcW w:w="4606" w:type="dxa"/>
          </w:tcPr>
          <w:p w:rsidR="00884F64" w:rsidRDefault="00884F64" w:rsidP="00810232">
            <w:pPr>
              <w:pStyle w:val="Bezodstpw"/>
              <w:jc w:val="center"/>
            </w:pPr>
            <w:r>
              <w:t xml:space="preserve">Koniec X 2002 – koniec </w:t>
            </w:r>
            <w:r w:rsidR="00810232">
              <w:t xml:space="preserve">IV </w:t>
            </w:r>
            <w:r>
              <w:t>2003</w:t>
            </w:r>
          </w:p>
        </w:tc>
        <w:tc>
          <w:tcPr>
            <w:tcW w:w="4606" w:type="dxa"/>
          </w:tcPr>
          <w:p w:rsidR="00884F64" w:rsidRDefault="00884F64" w:rsidP="008022C0">
            <w:pPr>
              <w:pStyle w:val="Bezodstpw"/>
              <w:jc w:val="center"/>
            </w:pPr>
            <w:r>
              <w:t xml:space="preserve">  +2,0 %</w:t>
            </w:r>
          </w:p>
        </w:tc>
      </w:tr>
      <w:tr w:rsidR="00884F64" w:rsidTr="008022C0">
        <w:tc>
          <w:tcPr>
            <w:tcW w:w="4606" w:type="dxa"/>
          </w:tcPr>
          <w:p w:rsidR="00884F64" w:rsidRDefault="00884F64" w:rsidP="00810232">
            <w:pPr>
              <w:pStyle w:val="Bezodstpw"/>
              <w:jc w:val="center"/>
            </w:pPr>
            <w:r>
              <w:t xml:space="preserve">Koniec X 2006 – koniec </w:t>
            </w:r>
            <w:r w:rsidR="00810232">
              <w:t xml:space="preserve">IV </w:t>
            </w:r>
            <w:r>
              <w:t>2007</w:t>
            </w:r>
          </w:p>
        </w:tc>
        <w:tc>
          <w:tcPr>
            <w:tcW w:w="4606" w:type="dxa"/>
          </w:tcPr>
          <w:p w:rsidR="00884F64" w:rsidRDefault="00884F64" w:rsidP="008022C0">
            <w:pPr>
              <w:pStyle w:val="Bezodstpw"/>
              <w:jc w:val="center"/>
            </w:pPr>
            <w:r>
              <w:t>+40,6 %</w:t>
            </w:r>
          </w:p>
        </w:tc>
      </w:tr>
      <w:tr w:rsidR="00884F64" w:rsidTr="008022C0">
        <w:tc>
          <w:tcPr>
            <w:tcW w:w="4606" w:type="dxa"/>
          </w:tcPr>
          <w:p w:rsidR="00884F64" w:rsidRDefault="00884F64" w:rsidP="00810232">
            <w:pPr>
              <w:pStyle w:val="Bezodstpw"/>
              <w:jc w:val="center"/>
            </w:pPr>
            <w:r>
              <w:t xml:space="preserve">Koniec X 2010  – koniec </w:t>
            </w:r>
            <w:r w:rsidR="00810232">
              <w:t xml:space="preserve">IV </w:t>
            </w:r>
            <w:r>
              <w:t xml:space="preserve">2011 </w:t>
            </w:r>
          </w:p>
        </w:tc>
        <w:tc>
          <w:tcPr>
            <w:tcW w:w="4606" w:type="dxa"/>
          </w:tcPr>
          <w:p w:rsidR="00884F64" w:rsidRDefault="00884F64" w:rsidP="008022C0">
            <w:pPr>
              <w:pStyle w:val="Bezodstpw"/>
              <w:jc w:val="center"/>
            </w:pPr>
            <w:r>
              <w:t xml:space="preserve">  +6,2 %</w:t>
            </w:r>
          </w:p>
        </w:tc>
      </w:tr>
      <w:tr w:rsidR="00884F64" w:rsidTr="008022C0">
        <w:tc>
          <w:tcPr>
            <w:tcW w:w="4606" w:type="dxa"/>
          </w:tcPr>
          <w:p w:rsidR="00884F64" w:rsidRPr="00977F23" w:rsidRDefault="00884F64" w:rsidP="008022C0">
            <w:pPr>
              <w:pStyle w:val="Bezodstpw"/>
              <w:rPr>
                <w:b/>
                <w:color w:val="FF0000"/>
              </w:rPr>
            </w:pPr>
            <w:r w:rsidRPr="00977F23">
              <w:rPr>
                <w:b/>
                <w:color w:val="FF0000"/>
              </w:rPr>
              <w:t xml:space="preserve">          Średnio </w:t>
            </w:r>
          </w:p>
        </w:tc>
        <w:tc>
          <w:tcPr>
            <w:tcW w:w="4606" w:type="dxa"/>
          </w:tcPr>
          <w:p w:rsidR="00884F64" w:rsidRPr="00977F23" w:rsidRDefault="00884F64" w:rsidP="008022C0">
            <w:pPr>
              <w:pStyle w:val="Bezodstpw"/>
              <w:jc w:val="center"/>
              <w:rPr>
                <w:b/>
                <w:color w:val="FF0000"/>
              </w:rPr>
            </w:pPr>
            <w:r w:rsidRPr="00977F23">
              <w:rPr>
                <w:b/>
                <w:color w:val="FF0000"/>
              </w:rPr>
              <w:t>+17,7 %</w:t>
            </w:r>
          </w:p>
        </w:tc>
      </w:tr>
    </w:tbl>
    <w:p w:rsidR="00884F64" w:rsidRDefault="00884F64" w:rsidP="00884F64">
      <w:pPr>
        <w:pStyle w:val="Bezodstpw"/>
        <w:jc w:val="both"/>
      </w:pPr>
    </w:p>
    <w:p w:rsidR="00884F64" w:rsidRDefault="00884F64" w:rsidP="00884F64">
      <w:pPr>
        <w:pStyle w:val="Bezodstpw"/>
        <w:jc w:val="both"/>
      </w:pPr>
    </w:p>
    <w:p w:rsidR="00884F64" w:rsidRDefault="00884F64" w:rsidP="00884F64">
      <w:pPr>
        <w:pStyle w:val="Bezodstpw"/>
        <w:jc w:val="both"/>
      </w:pPr>
      <w:r>
        <w:t xml:space="preserve">Tabela: </w:t>
      </w:r>
      <w:r w:rsidRPr="003846E0">
        <w:rPr>
          <w:b/>
          <w:u w:val="single"/>
        </w:rPr>
        <w:t>Małe spółki na GPW w Warszawie</w:t>
      </w:r>
      <w:r>
        <w:t xml:space="preserve">. Procentowa zmiana indeksu WIG 250 w okresie pomiędzy końcem października drugiego roku po wyborach w USA a końcem kwietnia roku przedwyborczego w USA. </w:t>
      </w:r>
    </w:p>
    <w:p w:rsidR="00884F64" w:rsidRDefault="00884F64" w:rsidP="00884F64">
      <w:pPr>
        <w:pStyle w:val="Bezodstpw"/>
        <w:jc w:val="both"/>
      </w:pPr>
    </w:p>
    <w:tbl>
      <w:tblPr>
        <w:tblStyle w:val="Tabela-Siatka"/>
        <w:tblW w:w="0" w:type="auto"/>
        <w:tblLook w:val="04A0"/>
      </w:tblPr>
      <w:tblGrid>
        <w:gridCol w:w="4606"/>
        <w:gridCol w:w="4606"/>
      </w:tblGrid>
      <w:tr w:rsidR="00884F64" w:rsidTr="008022C0">
        <w:tc>
          <w:tcPr>
            <w:tcW w:w="4606" w:type="dxa"/>
          </w:tcPr>
          <w:p w:rsidR="00884F64" w:rsidRDefault="00884F64" w:rsidP="00810232">
            <w:pPr>
              <w:pStyle w:val="Bezodstpw"/>
              <w:jc w:val="center"/>
            </w:pPr>
            <w:r>
              <w:t xml:space="preserve">Koniec X 1998 – koniec </w:t>
            </w:r>
            <w:r w:rsidR="00810232">
              <w:t xml:space="preserve">IV </w:t>
            </w:r>
            <w:r>
              <w:t>1999</w:t>
            </w:r>
          </w:p>
        </w:tc>
        <w:tc>
          <w:tcPr>
            <w:tcW w:w="4606" w:type="dxa"/>
          </w:tcPr>
          <w:p w:rsidR="00884F64" w:rsidRDefault="00884F64" w:rsidP="008022C0">
            <w:pPr>
              <w:pStyle w:val="Bezodstpw"/>
              <w:jc w:val="center"/>
            </w:pPr>
            <w:r>
              <w:t>+32,7 %</w:t>
            </w:r>
          </w:p>
        </w:tc>
      </w:tr>
      <w:tr w:rsidR="00884F64" w:rsidTr="008022C0">
        <w:tc>
          <w:tcPr>
            <w:tcW w:w="4606" w:type="dxa"/>
          </w:tcPr>
          <w:p w:rsidR="00884F64" w:rsidRDefault="00884F64" w:rsidP="00810232">
            <w:pPr>
              <w:pStyle w:val="Bezodstpw"/>
              <w:jc w:val="center"/>
            </w:pPr>
            <w:r>
              <w:t xml:space="preserve">Koniec X 2002 – koniec </w:t>
            </w:r>
            <w:r w:rsidR="00810232">
              <w:t xml:space="preserve">IV </w:t>
            </w:r>
            <w:r>
              <w:t>2003</w:t>
            </w:r>
          </w:p>
        </w:tc>
        <w:tc>
          <w:tcPr>
            <w:tcW w:w="4606" w:type="dxa"/>
          </w:tcPr>
          <w:p w:rsidR="00884F64" w:rsidRDefault="00884F64" w:rsidP="008022C0">
            <w:pPr>
              <w:pStyle w:val="Bezodstpw"/>
              <w:jc w:val="center"/>
            </w:pPr>
            <w:r>
              <w:t xml:space="preserve">  +9,7 %</w:t>
            </w:r>
          </w:p>
        </w:tc>
      </w:tr>
      <w:tr w:rsidR="00884F64" w:rsidTr="008022C0">
        <w:tc>
          <w:tcPr>
            <w:tcW w:w="4606" w:type="dxa"/>
          </w:tcPr>
          <w:p w:rsidR="00884F64" w:rsidRDefault="00884F64" w:rsidP="00810232">
            <w:pPr>
              <w:pStyle w:val="Bezodstpw"/>
              <w:jc w:val="center"/>
            </w:pPr>
            <w:r>
              <w:t xml:space="preserve">Koniec X 2006 – koniec </w:t>
            </w:r>
            <w:r w:rsidR="00810232">
              <w:t xml:space="preserve">IV </w:t>
            </w:r>
            <w:r>
              <w:t>2007</w:t>
            </w:r>
          </w:p>
        </w:tc>
        <w:tc>
          <w:tcPr>
            <w:tcW w:w="4606" w:type="dxa"/>
          </w:tcPr>
          <w:p w:rsidR="00884F64" w:rsidRDefault="00884F64" w:rsidP="008022C0">
            <w:pPr>
              <w:pStyle w:val="Bezodstpw"/>
              <w:jc w:val="center"/>
            </w:pPr>
            <w:r>
              <w:t xml:space="preserve">+62,7 % </w:t>
            </w:r>
          </w:p>
        </w:tc>
      </w:tr>
      <w:tr w:rsidR="00884F64" w:rsidTr="008022C0">
        <w:tc>
          <w:tcPr>
            <w:tcW w:w="4606" w:type="dxa"/>
          </w:tcPr>
          <w:p w:rsidR="00884F64" w:rsidRDefault="00884F64" w:rsidP="00810232">
            <w:pPr>
              <w:pStyle w:val="Bezodstpw"/>
              <w:jc w:val="center"/>
            </w:pPr>
            <w:r>
              <w:t xml:space="preserve">Koniec X 2010  – koniec </w:t>
            </w:r>
            <w:r w:rsidR="00810232">
              <w:t xml:space="preserve">IV </w:t>
            </w:r>
            <w:r>
              <w:t xml:space="preserve">2011 </w:t>
            </w:r>
          </w:p>
        </w:tc>
        <w:tc>
          <w:tcPr>
            <w:tcW w:w="4606" w:type="dxa"/>
          </w:tcPr>
          <w:p w:rsidR="00884F64" w:rsidRDefault="00884F64" w:rsidP="008022C0">
            <w:pPr>
              <w:pStyle w:val="Bezodstpw"/>
              <w:jc w:val="center"/>
            </w:pPr>
            <w:r>
              <w:t xml:space="preserve">  +7,4 %</w:t>
            </w:r>
          </w:p>
        </w:tc>
      </w:tr>
      <w:tr w:rsidR="00884F64" w:rsidTr="008022C0">
        <w:tc>
          <w:tcPr>
            <w:tcW w:w="4606" w:type="dxa"/>
          </w:tcPr>
          <w:p w:rsidR="00884F64" w:rsidRPr="00977F23" w:rsidRDefault="00884F64" w:rsidP="008022C0">
            <w:pPr>
              <w:pStyle w:val="Bezodstpw"/>
              <w:rPr>
                <w:b/>
                <w:color w:val="FF0000"/>
              </w:rPr>
            </w:pPr>
            <w:r w:rsidRPr="00977F23">
              <w:rPr>
                <w:b/>
                <w:color w:val="FF0000"/>
              </w:rPr>
              <w:t xml:space="preserve">          Średni</w:t>
            </w:r>
            <w:r w:rsidR="00492715">
              <w:rPr>
                <w:b/>
                <w:color w:val="FF0000"/>
              </w:rPr>
              <w:t>o</w:t>
            </w:r>
          </w:p>
        </w:tc>
        <w:tc>
          <w:tcPr>
            <w:tcW w:w="4606" w:type="dxa"/>
          </w:tcPr>
          <w:p w:rsidR="00884F64" w:rsidRPr="00977F23" w:rsidRDefault="00884F64" w:rsidP="008022C0">
            <w:pPr>
              <w:pStyle w:val="Bezodstpw"/>
              <w:rPr>
                <w:b/>
                <w:color w:val="FF0000"/>
              </w:rPr>
            </w:pPr>
            <w:r w:rsidRPr="00977F23">
              <w:rPr>
                <w:b/>
                <w:color w:val="FF0000"/>
              </w:rPr>
              <w:t xml:space="preserve">                                  +28,1 % %</w:t>
            </w:r>
          </w:p>
        </w:tc>
      </w:tr>
    </w:tbl>
    <w:p w:rsidR="00884F64" w:rsidRDefault="00884F64" w:rsidP="00884F64">
      <w:pPr>
        <w:pStyle w:val="Bezodstpw"/>
        <w:jc w:val="both"/>
      </w:pPr>
    </w:p>
    <w:p w:rsidR="00884F64" w:rsidRDefault="00884F64" w:rsidP="00884F64">
      <w:pPr>
        <w:pStyle w:val="Bezodstpw"/>
        <w:pBdr>
          <w:top w:val="single" w:sz="4" w:space="1" w:color="auto"/>
          <w:left w:val="single" w:sz="4" w:space="4" w:color="auto"/>
          <w:bottom w:val="single" w:sz="4" w:space="1" w:color="auto"/>
          <w:right w:val="single" w:sz="4" w:space="4" w:color="auto"/>
        </w:pBdr>
        <w:jc w:val="center"/>
      </w:pPr>
      <w:r>
        <w:t>Male czy duże spółki ?</w:t>
      </w:r>
    </w:p>
    <w:p w:rsidR="00884F64" w:rsidRDefault="00884F64" w:rsidP="00884F64">
      <w:pPr>
        <w:pStyle w:val="Bezodstpw"/>
        <w:jc w:val="both"/>
      </w:pPr>
    </w:p>
    <w:p w:rsidR="00884F64" w:rsidRDefault="00884F64" w:rsidP="00884F64">
      <w:pPr>
        <w:pStyle w:val="Bezodstpw"/>
        <w:jc w:val="both"/>
      </w:pPr>
      <w:r>
        <w:t xml:space="preserve">W poprzednich numerach ,,Raportu Tygodniowego” zastanawiałem się nad tym, czy we wrześniu dojdzie do pojawienia się istotnego sygnału zmiany trendu spadkowego w przypadku siły względnej WIG250 / WIG20. Okazało się, że utworzona we wrześniu  oparciu o dane miesięczne świeca stworzyła razem z poprzedzającą ją świecą sierpniową bardzo optymistyczny układ w postaci tak zwanego </w:t>
      </w:r>
      <w:r w:rsidR="00810232" w:rsidRPr="00810232">
        <w:rPr>
          <w:b/>
          <w:u w:val="single"/>
        </w:rPr>
        <w:t xml:space="preserve">przenikania </w:t>
      </w:r>
      <w:r w:rsidRPr="00492715">
        <w:rPr>
          <w:b/>
          <w:u w:val="single"/>
        </w:rPr>
        <w:t>hossy</w:t>
      </w:r>
      <w:r>
        <w:t xml:space="preserve">. Warto zauważyć, że układ ten powstał po uprzednim wejściu oscylatora stochastycznego do strefy  wyprzedania. </w:t>
      </w:r>
    </w:p>
    <w:p w:rsidR="00884F64" w:rsidRDefault="00884F64" w:rsidP="00884F64">
      <w:pPr>
        <w:pStyle w:val="Bezodstpw"/>
        <w:jc w:val="both"/>
      </w:pPr>
      <w:r>
        <w:lastRenderedPageBreak/>
        <w:t xml:space="preserve">W dzisiejszym ,,Raporcie Tygodniowym” postaram się odpowiedzieć na pytanie: </w:t>
      </w:r>
      <w:r w:rsidRPr="00E14C22">
        <w:rPr>
          <w:b/>
          <w:u w:val="single"/>
        </w:rPr>
        <w:t xml:space="preserve">w jaki sposób po podobnym sygnale w przeszłości </w:t>
      </w:r>
      <w:r>
        <w:t xml:space="preserve">(tworzona w oparciu o dane miesięczne </w:t>
      </w:r>
      <w:r w:rsidRPr="00E14C22">
        <w:rPr>
          <w:b/>
          <w:color w:val="FF0000"/>
        </w:rPr>
        <w:t xml:space="preserve">formacja przenikania hossy </w:t>
      </w:r>
      <w:r w:rsidRPr="00E14C22">
        <w:rPr>
          <w:b/>
          <w:color w:val="000000" w:themeColor="text1"/>
        </w:rPr>
        <w:t>lub</w:t>
      </w:r>
      <w:r w:rsidRPr="00E14C22">
        <w:rPr>
          <w:b/>
          <w:color w:val="FF0000"/>
        </w:rPr>
        <w:t xml:space="preserve"> formacja objęcia hossy pojawiająca się po uprzednim wejściu oscylatora stochastycznego do strefy wyprzedania</w:t>
      </w:r>
      <w:r>
        <w:t xml:space="preserve">) </w:t>
      </w:r>
      <w:r w:rsidRPr="00E14C22">
        <w:rPr>
          <w:b/>
          <w:u w:val="single"/>
        </w:rPr>
        <w:t>zachowały się w okresie kolejnych 12 miesięcy: indeks małych oraz indeks dużych spółek</w:t>
      </w:r>
      <w:r>
        <w:t xml:space="preserve">. Warto zauważyć, że zarówno </w:t>
      </w:r>
      <w:r w:rsidRPr="00492715">
        <w:rPr>
          <w:b/>
          <w:u w:val="single"/>
        </w:rPr>
        <w:t>formacja objęcia hossy</w:t>
      </w:r>
      <w:r>
        <w:t xml:space="preserve"> jak i </w:t>
      </w:r>
      <w:r w:rsidRPr="00492715">
        <w:rPr>
          <w:b/>
          <w:u w:val="single"/>
        </w:rPr>
        <w:t>przenikania hossy</w:t>
      </w:r>
      <w:r>
        <w:t xml:space="preserve"> zapowiadają hossę i z tego powodu można traktować je b</w:t>
      </w:r>
      <w:r w:rsidR="00492715">
        <w:t>ardzo podobnie prawie, że równoważnie).</w:t>
      </w:r>
    </w:p>
    <w:p w:rsidR="00884F64" w:rsidRDefault="00884F64" w:rsidP="00884F64">
      <w:pPr>
        <w:pStyle w:val="Bezodstpw"/>
        <w:jc w:val="both"/>
      </w:pPr>
    </w:p>
    <w:p w:rsidR="00884F64" w:rsidRDefault="00884F64" w:rsidP="00884F64">
      <w:pPr>
        <w:pStyle w:val="Bezodstpw"/>
        <w:jc w:val="both"/>
      </w:pPr>
      <w:r w:rsidRPr="00F30EC2">
        <w:rPr>
          <w:b/>
          <w:u w:val="single"/>
        </w:rPr>
        <w:t>Przypadek pierwszy</w:t>
      </w:r>
      <w:r w:rsidR="003212B4">
        <w:t xml:space="preserve">: WIG 250/WIG 20 - </w:t>
      </w:r>
      <w:r>
        <w:t xml:space="preserve">formacja objęcia hossy utworzyła się </w:t>
      </w:r>
      <w:r w:rsidR="00492715">
        <w:t xml:space="preserve">po uprzednim wejściu </w:t>
      </w:r>
      <w:r>
        <w:t xml:space="preserve">oscylatora stochastycznego </w:t>
      </w:r>
      <w:r w:rsidR="00492715">
        <w:t xml:space="preserve">do strefy wyprzedania </w:t>
      </w:r>
      <w:r>
        <w:t>w okresie luty – marzec 1996 roku</w:t>
      </w:r>
    </w:p>
    <w:p w:rsidR="00884F64" w:rsidRDefault="00884F64" w:rsidP="00884F64">
      <w:pPr>
        <w:pStyle w:val="Bezodstpw"/>
        <w:jc w:val="both"/>
      </w:pPr>
      <w:r>
        <w:rPr>
          <w:noProof/>
        </w:rPr>
        <w:drawing>
          <wp:inline distT="0" distB="0" distL="0" distR="0">
            <wp:extent cx="4196485" cy="2520000"/>
            <wp:effectExtent l="19050" t="0" r="0" b="0"/>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196485" cy="2520000"/>
                    </a:xfrm>
                    <a:prstGeom prst="rect">
                      <a:avLst/>
                    </a:prstGeom>
                    <a:noFill/>
                  </pic:spPr>
                </pic:pic>
              </a:graphicData>
            </a:graphic>
          </wp:inline>
        </w:drawing>
      </w:r>
    </w:p>
    <w:p w:rsidR="00884F64" w:rsidRDefault="00884F64" w:rsidP="00884F64">
      <w:pPr>
        <w:pStyle w:val="Bezodstpw"/>
        <w:jc w:val="both"/>
      </w:pPr>
      <w:r>
        <w:t xml:space="preserve">Tabela: Zachowanie indeksu WIG 250 oraz indeksu WIG 20 w okresie 12 miesięcy po utworzeniu się na tworzonym w oparciu o dane miesięczne </w:t>
      </w:r>
      <w:r w:rsidR="00A23A40">
        <w:t xml:space="preserve">wykresie </w:t>
      </w:r>
      <w:r>
        <w:t>formacji objęcia hossy po uprzednim wejściu oscylatora stochastycznego do strefy wyprzedania w okresie luty – marzec 1996 roku</w:t>
      </w:r>
    </w:p>
    <w:tbl>
      <w:tblPr>
        <w:tblStyle w:val="Tabela-Siatka"/>
        <w:tblW w:w="0" w:type="auto"/>
        <w:tblLook w:val="04A0"/>
      </w:tblPr>
      <w:tblGrid>
        <w:gridCol w:w="4606"/>
        <w:gridCol w:w="4606"/>
      </w:tblGrid>
      <w:tr w:rsidR="00884F64" w:rsidTr="008022C0">
        <w:tc>
          <w:tcPr>
            <w:tcW w:w="4606" w:type="dxa"/>
          </w:tcPr>
          <w:p w:rsidR="00884F64" w:rsidRDefault="00884F64" w:rsidP="008022C0">
            <w:pPr>
              <w:pStyle w:val="Bezodstpw"/>
              <w:jc w:val="center"/>
            </w:pPr>
            <w:r>
              <w:t>WIG 250</w:t>
            </w:r>
          </w:p>
        </w:tc>
        <w:tc>
          <w:tcPr>
            <w:tcW w:w="4606" w:type="dxa"/>
          </w:tcPr>
          <w:p w:rsidR="00884F64" w:rsidRDefault="00884F64" w:rsidP="008022C0">
            <w:pPr>
              <w:pStyle w:val="Bezodstpw"/>
              <w:jc w:val="center"/>
            </w:pPr>
            <w:r>
              <w:t>+171,2 %</w:t>
            </w:r>
          </w:p>
        </w:tc>
      </w:tr>
      <w:tr w:rsidR="00884F64" w:rsidTr="008022C0">
        <w:tc>
          <w:tcPr>
            <w:tcW w:w="4606" w:type="dxa"/>
          </w:tcPr>
          <w:p w:rsidR="00884F64" w:rsidRDefault="00884F64" w:rsidP="008022C0">
            <w:pPr>
              <w:pStyle w:val="Bezodstpw"/>
              <w:jc w:val="center"/>
            </w:pPr>
            <w:r>
              <w:t>WIG 20</w:t>
            </w:r>
          </w:p>
        </w:tc>
        <w:tc>
          <w:tcPr>
            <w:tcW w:w="4606" w:type="dxa"/>
          </w:tcPr>
          <w:p w:rsidR="00884F64" w:rsidRDefault="00884F64" w:rsidP="008022C0">
            <w:pPr>
              <w:pStyle w:val="Bezodstpw"/>
              <w:jc w:val="center"/>
            </w:pPr>
            <w:r>
              <w:t xml:space="preserve">  +36,9 %</w:t>
            </w:r>
          </w:p>
        </w:tc>
      </w:tr>
    </w:tbl>
    <w:p w:rsidR="00884F64" w:rsidRDefault="00884F64" w:rsidP="00884F64">
      <w:pPr>
        <w:pStyle w:val="Bezodstpw"/>
        <w:jc w:val="both"/>
      </w:pPr>
    </w:p>
    <w:p w:rsidR="00884F64" w:rsidRDefault="00884F64" w:rsidP="00884F64">
      <w:pPr>
        <w:pStyle w:val="Bezodstpw"/>
        <w:jc w:val="both"/>
      </w:pPr>
      <w:r w:rsidRPr="00F30EC2">
        <w:rPr>
          <w:b/>
          <w:u w:val="single"/>
        </w:rPr>
        <w:t>Przypadek drugi</w:t>
      </w:r>
      <w:r>
        <w:t xml:space="preserve">: </w:t>
      </w:r>
      <w:r w:rsidR="003212B4">
        <w:t xml:space="preserve">WIG 250/WIG20 - </w:t>
      </w:r>
      <w:r>
        <w:t xml:space="preserve">formacja objęcia hossy utworzyła się </w:t>
      </w:r>
      <w:r w:rsidR="00492715">
        <w:t xml:space="preserve">po uprzednim wejściu oscylatora stochastycznego do strefy wyprzedania </w:t>
      </w:r>
      <w:r>
        <w:t>w okresie październik – listopad 1998 roku</w:t>
      </w:r>
    </w:p>
    <w:p w:rsidR="00884F64" w:rsidRDefault="00884F64" w:rsidP="00884F64">
      <w:pPr>
        <w:pStyle w:val="Bezodstpw"/>
        <w:jc w:val="both"/>
      </w:pPr>
      <w:r>
        <w:rPr>
          <w:noProof/>
        </w:rPr>
        <w:drawing>
          <wp:inline distT="0" distB="0" distL="0" distR="0">
            <wp:extent cx="4196485" cy="2520000"/>
            <wp:effectExtent l="19050" t="0" r="0" b="0"/>
            <wp:docPr id="1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196485" cy="2520000"/>
                    </a:xfrm>
                    <a:prstGeom prst="rect">
                      <a:avLst/>
                    </a:prstGeom>
                    <a:noFill/>
                  </pic:spPr>
                </pic:pic>
              </a:graphicData>
            </a:graphic>
          </wp:inline>
        </w:drawing>
      </w:r>
    </w:p>
    <w:p w:rsidR="00884F64" w:rsidRDefault="00884F64" w:rsidP="00884F64">
      <w:pPr>
        <w:pStyle w:val="Bezodstpw"/>
        <w:jc w:val="both"/>
      </w:pPr>
      <w:r>
        <w:t xml:space="preserve">Tabela: Zachowanie indeksu WIG 250 oraz indeksu WIG 20 w okresie 12 miesięcy po utworzeniu się na tworzonym w oparciu o dane miesięczne </w:t>
      </w:r>
      <w:r w:rsidR="00A23A40">
        <w:t xml:space="preserve">wykresie </w:t>
      </w:r>
      <w:r>
        <w:t>formacji objęcia hossy po uprzednim wejściu oscylatora stochastycznego do strefy wyprzedania w okresie październik – listopad 1998 roku</w:t>
      </w:r>
    </w:p>
    <w:tbl>
      <w:tblPr>
        <w:tblStyle w:val="Tabela-Siatka"/>
        <w:tblW w:w="0" w:type="auto"/>
        <w:tblLook w:val="04A0"/>
      </w:tblPr>
      <w:tblGrid>
        <w:gridCol w:w="4606"/>
        <w:gridCol w:w="4606"/>
      </w:tblGrid>
      <w:tr w:rsidR="00884F64" w:rsidTr="008022C0">
        <w:tc>
          <w:tcPr>
            <w:tcW w:w="4606" w:type="dxa"/>
          </w:tcPr>
          <w:p w:rsidR="00884F64" w:rsidRDefault="00884F64" w:rsidP="008022C0">
            <w:pPr>
              <w:pStyle w:val="Bezodstpw"/>
              <w:jc w:val="center"/>
            </w:pPr>
            <w:r>
              <w:t>WIG 250</w:t>
            </w:r>
          </w:p>
        </w:tc>
        <w:tc>
          <w:tcPr>
            <w:tcW w:w="4606" w:type="dxa"/>
          </w:tcPr>
          <w:p w:rsidR="00884F64" w:rsidRDefault="00884F64" w:rsidP="008022C0">
            <w:pPr>
              <w:pStyle w:val="Bezodstpw"/>
              <w:jc w:val="center"/>
            </w:pPr>
            <w:r>
              <w:t>+14,2 %</w:t>
            </w:r>
          </w:p>
        </w:tc>
      </w:tr>
      <w:tr w:rsidR="00884F64" w:rsidTr="008022C0">
        <w:tc>
          <w:tcPr>
            <w:tcW w:w="4606" w:type="dxa"/>
          </w:tcPr>
          <w:p w:rsidR="00884F64" w:rsidRDefault="00884F64" w:rsidP="008022C0">
            <w:pPr>
              <w:pStyle w:val="Bezodstpw"/>
              <w:jc w:val="center"/>
            </w:pPr>
            <w:r>
              <w:t>WIG 20</w:t>
            </w:r>
          </w:p>
        </w:tc>
        <w:tc>
          <w:tcPr>
            <w:tcW w:w="4606" w:type="dxa"/>
          </w:tcPr>
          <w:p w:rsidR="00884F64" w:rsidRDefault="00884F64" w:rsidP="008022C0">
            <w:pPr>
              <w:pStyle w:val="Bezodstpw"/>
              <w:jc w:val="center"/>
            </w:pPr>
            <w:r>
              <w:t>+36,9 %</w:t>
            </w:r>
          </w:p>
        </w:tc>
      </w:tr>
    </w:tbl>
    <w:p w:rsidR="00884F64" w:rsidRDefault="00884F64" w:rsidP="00884F64">
      <w:pPr>
        <w:pStyle w:val="Bezodstpw"/>
        <w:jc w:val="both"/>
      </w:pPr>
      <w:r w:rsidRPr="00F30EC2">
        <w:rPr>
          <w:b/>
          <w:u w:val="single"/>
        </w:rPr>
        <w:lastRenderedPageBreak/>
        <w:t>Przypadek trzeci</w:t>
      </w:r>
      <w:r>
        <w:t xml:space="preserve">: </w:t>
      </w:r>
      <w:r w:rsidR="003212B4">
        <w:t xml:space="preserve">WIG 250/WIG20 - </w:t>
      </w:r>
      <w:r>
        <w:t xml:space="preserve">formacja objęcia hossy utworzyła się </w:t>
      </w:r>
      <w:r w:rsidR="00492715">
        <w:t xml:space="preserve">po uprzednim wejściu oscylatora stochastycznego do strefy wyprzedania </w:t>
      </w:r>
      <w:r>
        <w:t xml:space="preserve">w okresie maj – czerwiec 2002 roku </w:t>
      </w:r>
    </w:p>
    <w:p w:rsidR="00884F64" w:rsidRDefault="00884F64" w:rsidP="00884F64">
      <w:pPr>
        <w:pStyle w:val="Bezodstpw"/>
        <w:jc w:val="both"/>
      </w:pPr>
      <w:r>
        <w:rPr>
          <w:noProof/>
        </w:rPr>
        <w:drawing>
          <wp:inline distT="0" distB="0" distL="0" distR="0">
            <wp:extent cx="4185235" cy="2520000"/>
            <wp:effectExtent l="19050" t="0" r="5765" b="0"/>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185235" cy="2520000"/>
                    </a:xfrm>
                    <a:prstGeom prst="rect">
                      <a:avLst/>
                    </a:prstGeom>
                    <a:noFill/>
                  </pic:spPr>
                </pic:pic>
              </a:graphicData>
            </a:graphic>
          </wp:inline>
        </w:drawing>
      </w:r>
    </w:p>
    <w:p w:rsidR="00884F64" w:rsidRDefault="00884F64" w:rsidP="00884F64">
      <w:pPr>
        <w:pStyle w:val="Bezodstpw"/>
        <w:jc w:val="both"/>
      </w:pPr>
      <w:r>
        <w:t xml:space="preserve">Tabela: Zachowanie indeksu WIG 250 oraz indeksu WIG 20 w okresie 12 miesięcy po utworzeniu się na tworzonym w oparciu o dane miesięczne </w:t>
      </w:r>
      <w:r w:rsidR="00A23A40">
        <w:t xml:space="preserve">wykresie </w:t>
      </w:r>
      <w:r>
        <w:t xml:space="preserve">formacji objęcia hossy po uprzednim wejściu oscylatora stochastycznego do strefy wyprzedania w okresie maj – czerwiec 2002 roku </w:t>
      </w:r>
    </w:p>
    <w:tbl>
      <w:tblPr>
        <w:tblStyle w:val="Tabela-Siatka"/>
        <w:tblW w:w="0" w:type="auto"/>
        <w:tblLook w:val="04A0"/>
      </w:tblPr>
      <w:tblGrid>
        <w:gridCol w:w="4606"/>
        <w:gridCol w:w="4606"/>
      </w:tblGrid>
      <w:tr w:rsidR="00884F64" w:rsidTr="008022C0">
        <w:tc>
          <w:tcPr>
            <w:tcW w:w="4606" w:type="dxa"/>
          </w:tcPr>
          <w:p w:rsidR="00884F64" w:rsidRDefault="00884F64" w:rsidP="008022C0">
            <w:pPr>
              <w:pStyle w:val="Bezodstpw"/>
              <w:jc w:val="center"/>
            </w:pPr>
            <w:r>
              <w:t>WIG 250</w:t>
            </w:r>
          </w:p>
        </w:tc>
        <w:tc>
          <w:tcPr>
            <w:tcW w:w="4606" w:type="dxa"/>
          </w:tcPr>
          <w:p w:rsidR="00884F64" w:rsidRDefault="00884F64" w:rsidP="008022C0">
            <w:pPr>
              <w:pStyle w:val="Bezodstpw"/>
              <w:jc w:val="center"/>
            </w:pPr>
            <w:r>
              <w:t>12,0 %</w:t>
            </w:r>
          </w:p>
        </w:tc>
      </w:tr>
      <w:tr w:rsidR="00884F64" w:rsidTr="008022C0">
        <w:tc>
          <w:tcPr>
            <w:tcW w:w="4606" w:type="dxa"/>
          </w:tcPr>
          <w:p w:rsidR="00884F64" w:rsidRDefault="00884F64" w:rsidP="008022C0">
            <w:pPr>
              <w:pStyle w:val="Bezodstpw"/>
              <w:jc w:val="center"/>
            </w:pPr>
            <w:r>
              <w:t>WIG 20</w:t>
            </w:r>
          </w:p>
        </w:tc>
        <w:tc>
          <w:tcPr>
            <w:tcW w:w="4606" w:type="dxa"/>
          </w:tcPr>
          <w:p w:rsidR="00884F64" w:rsidRDefault="00884F64" w:rsidP="008022C0">
            <w:pPr>
              <w:pStyle w:val="Bezodstpw"/>
              <w:jc w:val="center"/>
            </w:pPr>
            <w:r>
              <w:t>2,9 %</w:t>
            </w:r>
          </w:p>
        </w:tc>
      </w:tr>
    </w:tbl>
    <w:p w:rsidR="002D2D4D" w:rsidRDefault="002D2D4D" w:rsidP="00884F64">
      <w:pPr>
        <w:pStyle w:val="Bezodstpw"/>
        <w:jc w:val="both"/>
        <w:rPr>
          <w:b/>
          <w:u w:val="single"/>
        </w:rPr>
      </w:pPr>
    </w:p>
    <w:p w:rsidR="00884F64" w:rsidRDefault="00884F64" w:rsidP="00884F64">
      <w:pPr>
        <w:pStyle w:val="Bezodstpw"/>
        <w:jc w:val="both"/>
      </w:pPr>
      <w:r w:rsidRPr="00F30EC2">
        <w:rPr>
          <w:b/>
          <w:u w:val="single"/>
        </w:rPr>
        <w:t>Przypadek czwarty</w:t>
      </w:r>
      <w:r>
        <w:t xml:space="preserve">: </w:t>
      </w:r>
      <w:r w:rsidR="003212B4">
        <w:t xml:space="preserve">WIG250/WIG20 - </w:t>
      </w:r>
      <w:r>
        <w:t xml:space="preserve">formacja objęcia hossy utworzyła się </w:t>
      </w:r>
      <w:r w:rsidR="00492715">
        <w:t xml:space="preserve">po uprzednim wejściu oscylatora stochastycznego do strefy wyprzedania </w:t>
      </w:r>
      <w:r>
        <w:t>w okresie wrzesień – październik 2005 roku</w:t>
      </w:r>
    </w:p>
    <w:p w:rsidR="00884F64" w:rsidRDefault="00884F64" w:rsidP="00884F64">
      <w:pPr>
        <w:pStyle w:val="Bezodstpw"/>
        <w:jc w:val="both"/>
      </w:pPr>
      <w:r>
        <w:rPr>
          <w:noProof/>
        </w:rPr>
        <w:drawing>
          <wp:inline distT="0" distB="0" distL="0" distR="0">
            <wp:extent cx="4196485" cy="2520000"/>
            <wp:effectExtent l="19050" t="0" r="0" b="0"/>
            <wp:docPr id="2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196485" cy="2520000"/>
                    </a:xfrm>
                    <a:prstGeom prst="rect">
                      <a:avLst/>
                    </a:prstGeom>
                    <a:noFill/>
                  </pic:spPr>
                </pic:pic>
              </a:graphicData>
            </a:graphic>
          </wp:inline>
        </w:drawing>
      </w:r>
    </w:p>
    <w:p w:rsidR="002D2D4D" w:rsidRDefault="002D2D4D" w:rsidP="00884F64">
      <w:pPr>
        <w:pStyle w:val="Bezodstpw"/>
        <w:jc w:val="both"/>
      </w:pPr>
    </w:p>
    <w:p w:rsidR="00884F64" w:rsidRDefault="002D2D4D" w:rsidP="00884F64">
      <w:pPr>
        <w:pStyle w:val="Bezodstpw"/>
        <w:jc w:val="both"/>
      </w:pPr>
      <w:r>
        <w:t>T</w:t>
      </w:r>
      <w:r w:rsidR="00884F64">
        <w:t xml:space="preserve">abela: Zachowanie indeksu WIG 250 oraz indeksu WIG 20 w okresie 12 miesięcy po utworzeniu się na tworzonym w oparciu o dane miesięczne </w:t>
      </w:r>
      <w:r w:rsidR="00A23A40">
        <w:t xml:space="preserve">wykresie </w:t>
      </w:r>
      <w:r w:rsidR="00884F64">
        <w:t>formacji objęcia hossy po uprzednim wejściu oscylatora stochastycznego do strefy wyprzedania w okresie wrzesień – październik 2005 roku</w:t>
      </w:r>
    </w:p>
    <w:p w:rsidR="00884F64" w:rsidRDefault="00884F64" w:rsidP="00884F64">
      <w:pPr>
        <w:pStyle w:val="Bezodstpw"/>
        <w:jc w:val="both"/>
      </w:pPr>
    </w:p>
    <w:tbl>
      <w:tblPr>
        <w:tblStyle w:val="Tabela-Siatka"/>
        <w:tblW w:w="0" w:type="auto"/>
        <w:tblLook w:val="04A0"/>
      </w:tblPr>
      <w:tblGrid>
        <w:gridCol w:w="4606"/>
        <w:gridCol w:w="4606"/>
      </w:tblGrid>
      <w:tr w:rsidR="00884F64" w:rsidTr="008022C0">
        <w:tc>
          <w:tcPr>
            <w:tcW w:w="4606" w:type="dxa"/>
          </w:tcPr>
          <w:p w:rsidR="00884F64" w:rsidRDefault="00884F64" w:rsidP="008022C0">
            <w:pPr>
              <w:pStyle w:val="Bezodstpw"/>
              <w:jc w:val="center"/>
            </w:pPr>
            <w:r>
              <w:t>WIG 250</w:t>
            </w:r>
          </w:p>
        </w:tc>
        <w:tc>
          <w:tcPr>
            <w:tcW w:w="4606" w:type="dxa"/>
          </w:tcPr>
          <w:p w:rsidR="00884F64" w:rsidRDefault="00884F64" w:rsidP="008022C0">
            <w:pPr>
              <w:pStyle w:val="Bezodstpw"/>
              <w:jc w:val="center"/>
            </w:pPr>
            <w:r>
              <w:t>144,8 %</w:t>
            </w:r>
          </w:p>
        </w:tc>
      </w:tr>
      <w:tr w:rsidR="00884F64" w:rsidTr="008022C0">
        <w:tc>
          <w:tcPr>
            <w:tcW w:w="4606" w:type="dxa"/>
          </w:tcPr>
          <w:p w:rsidR="00884F64" w:rsidRDefault="00884F64" w:rsidP="008022C0">
            <w:pPr>
              <w:pStyle w:val="Bezodstpw"/>
              <w:jc w:val="center"/>
            </w:pPr>
            <w:r>
              <w:t>WIG 20</w:t>
            </w:r>
          </w:p>
        </w:tc>
        <w:tc>
          <w:tcPr>
            <w:tcW w:w="4606" w:type="dxa"/>
          </w:tcPr>
          <w:p w:rsidR="00884F64" w:rsidRDefault="00884F64" w:rsidP="008022C0">
            <w:pPr>
              <w:pStyle w:val="Bezodstpw"/>
              <w:jc w:val="center"/>
            </w:pPr>
            <w:r>
              <w:t>32,8 %</w:t>
            </w:r>
          </w:p>
        </w:tc>
      </w:tr>
    </w:tbl>
    <w:p w:rsidR="00884F64" w:rsidRDefault="00884F64" w:rsidP="00884F64">
      <w:pPr>
        <w:pStyle w:val="Bezodstpw"/>
        <w:jc w:val="both"/>
      </w:pPr>
    </w:p>
    <w:p w:rsidR="002D2D4D" w:rsidRDefault="002D2D4D" w:rsidP="00884F64">
      <w:pPr>
        <w:pStyle w:val="Bezodstpw"/>
        <w:jc w:val="both"/>
      </w:pPr>
    </w:p>
    <w:p w:rsidR="00A23A40" w:rsidRDefault="00A23A40" w:rsidP="00884F64">
      <w:pPr>
        <w:pStyle w:val="Bezodstpw"/>
        <w:jc w:val="both"/>
      </w:pPr>
    </w:p>
    <w:p w:rsidR="002D2D4D" w:rsidRDefault="002D2D4D" w:rsidP="00884F64">
      <w:pPr>
        <w:pStyle w:val="Bezodstpw"/>
        <w:jc w:val="both"/>
      </w:pPr>
    </w:p>
    <w:p w:rsidR="00884F64" w:rsidRDefault="00884F64" w:rsidP="00884F64">
      <w:pPr>
        <w:pStyle w:val="Bezodstpw"/>
        <w:jc w:val="both"/>
      </w:pPr>
      <w:r w:rsidRPr="00F30EC2">
        <w:rPr>
          <w:b/>
          <w:u w:val="single"/>
        </w:rPr>
        <w:lastRenderedPageBreak/>
        <w:t>Przypadek piąty</w:t>
      </w:r>
      <w:r>
        <w:t xml:space="preserve">: </w:t>
      </w:r>
      <w:r w:rsidR="003212B4">
        <w:t xml:space="preserve">WIG250/WIG20 - </w:t>
      </w:r>
      <w:r>
        <w:t xml:space="preserve">formacja objęcia hossy utworzyła się </w:t>
      </w:r>
      <w:r w:rsidR="00492715">
        <w:t xml:space="preserve">po uprzednim wejściu oscylatora stochastycznego do strefy wyprzedania </w:t>
      </w:r>
      <w:r>
        <w:t>w okresie grudzień 2008 roku – styczeń 2009 roku</w:t>
      </w:r>
    </w:p>
    <w:p w:rsidR="00884F64" w:rsidRDefault="00884F64" w:rsidP="00884F64">
      <w:pPr>
        <w:pStyle w:val="Bezodstpw"/>
        <w:jc w:val="both"/>
      </w:pPr>
      <w:r>
        <w:rPr>
          <w:noProof/>
        </w:rPr>
        <w:drawing>
          <wp:inline distT="0" distB="0" distL="0" distR="0">
            <wp:extent cx="4196485" cy="2520000"/>
            <wp:effectExtent l="19050" t="0" r="0" b="0"/>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196485" cy="2520000"/>
                    </a:xfrm>
                    <a:prstGeom prst="rect">
                      <a:avLst/>
                    </a:prstGeom>
                    <a:noFill/>
                  </pic:spPr>
                </pic:pic>
              </a:graphicData>
            </a:graphic>
          </wp:inline>
        </w:drawing>
      </w:r>
    </w:p>
    <w:p w:rsidR="00884F64" w:rsidRDefault="00884F64" w:rsidP="00884F64">
      <w:pPr>
        <w:pStyle w:val="Bezodstpw"/>
        <w:jc w:val="both"/>
      </w:pPr>
    </w:p>
    <w:p w:rsidR="00884F64" w:rsidRDefault="00884F64" w:rsidP="00884F64">
      <w:pPr>
        <w:pStyle w:val="Bezodstpw"/>
        <w:jc w:val="both"/>
      </w:pPr>
      <w:r>
        <w:t xml:space="preserve">Tabela: Zachowanie indeksu WIG 250 oraz indeksu WIG 20 w okresie 12 miesięcy po utworzeniu się na tworzonym w oparciu o dane miesięczne </w:t>
      </w:r>
      <w:r w:rsidR="00A23A40">
        <w:t xml:space="preserve">wykresie </w:t>
      </w:r>
      <w:r>
        <w:t>formacji objęcia hossy po uprzednim wejściu oscylatora stochastycznego do strefy wyprzedania w okresie grudzień 2008 roku – styczeń 2009 roku</w:t>
      </w:r>
    </w:p>
    <w:p w:rsidR="00884F64" w:rsidRDefault="00884F64" w:rsidP="00884F64">
      <w:pPr>
        <w:pStyle w:val="Bezodstpw"/>
        <w:jc w:val="both"/>
      </w:pPr>
    </w:p>
    <w:tbl>
      <w:tblPr>
        <w:tblStyle w:val="Tabela-Siatka"/>
        <w:tblW w:w="0" w:type="auto"/>
        <w:tblLook w:val="04A0"/>
      </w:tblPr>
      <w:tblGrid>
        <w:gridCol w:w="4606"/>
        <w:gridCol w:w="4606"/>
      </w:tblGrid>
      <w:tr w:rsidR="00884F64" w:rsidTr="008022C0">
        <w:tc>
          <w:tcPr>
            <w:tcW w:w="4606" w:type="dxa"/>
          </w:tcPr>
          <w:p w:rsidR="00884F64" w:rsidRDefault="00884F64" w:rsidP="008022C0">
            <w:pPr>
              <w:pStyle w:val="Bezodstpw"/>
              <w:jc w:val="center"/>
            </w:pPr>
            <w:r>
              <w:t>WIG 250</w:t>
            </w:r>
          </w:p>
        </w:tc>
        <w:tc>
          <w:tcPr>
            <w:tcW w:w="4606" w:type="dxa"/>
          </w:tcPr>
          <w:p w:rsidR="00884F64" w:rsidRDefault="00884F64" w:rsidP="008022C0">
            <w:pPr>
              <w:pStyle w:val="Bezodstpw"/>
              <w:jc w:val="center"/>
            </w:pPr>
            <w:r>
              <w:t>73,7 %</w:t>
            </w:r>
          </w:p>
        </w:tc>
      </w:tr>
      <w:tr w:rsidR="00884F64" w:rsidTr="008022C0">
        <w:tc>
          <w:tcPr>
            <w:tcW w:w="4606" w:type="dxa"/>
          </w:tcPr>
          <w:p w:rsidR="00884F64" w:rsidRDefault="00884F64" w:rsidP="008022C0">
            <w:pPr>
              <w:pStyle w:val="Bezodstpw"/>
              <w:jc w:val="center"/>
            </w:pPr>
            <w:r>
              <w:t>WIG 20</w:t>
            </w:r>
          </w:p>
        </w:tc>
        <w:tc>
          <w:tcPr>
            <w:tcW w:w="4606" w:type="dxa"/>
          </w:tcPr>
          <w:p w:rsidR="00884F64" w:rsidRDefault="00884F64" w:rsidP="008022C0">
            <w:pPr>
              <w:pStyle w:val="Bezodstpw"/>
              <w:jc w:val="center"/>
            </w:pPr>
            <w:r>
              <w:t>49,4 %</w:t>
            </w:r>
          </w:p>
        </w:tc>
      </w:tr>
    </w:tbl>
    <w:p w:rsidR="002D2D4D" w:rsidRDefault="002D2D4D" w:rsidP="00884F64">
      <w:pPr>
        <w:pStyle w:val="Bezodstpw"/>
        <w:jc w:val="both"/>
        <w:rPr>
          <w:b/>
          <w:u w:val="single"/>
        </w:rPr>
      </w:pPr>
    </w:p>
    <w:p w:rsidR="00884F64" w:rsidRDefault="00884F64" w:rsidP="00884F64">
      <w:pPr>
        <w:pStyle w:val="Bezodstpw"/>
        <w:jc w:val="both"/>
      </w:pPr>
      <w:r w:rsidRPr="00F30EC2">
        <w:rPr>
          <w:b/>
          <w:u w:val="single"/>
        </w:rPr>
        <w:t>Przypadek szósty</w:t>
      </w:r>
      <w:r>
        <w:t xml:space="preserve">: </w:t>
      </w:r>
      <w:r w:rsidR="0099571D">
        <w:t xml:space="preserve">WIG250/WIG20 - </w:t>
      </w:r>
      <w:r>
        <w:t xml:space="preserve">formacja objęcia hossy utworzyła się </w:t>
      </w:r>
      <w:r w:rsidR="00492715">
        <w:t xml:space="preserve">po uprzednim wejściu oscylatora stochastycznego do strefy wyprzedania </w:t>
      </w:r>
      <w:r>
        <w:t xml:space="preserve">w okresie grudzień 2009 roku – styczeń 2010 roku </w:t>
      </w:r>
    </w:p>
    <w:p w:rsidR="00884F64" w:rsidRDefault="00884F64" w:rsidP="00884F64">
      <w:pPr>
        <w:pStyle w:val="Bezodstpw"/>
        <w:jc w:val="both"/>
      </w:pPr>
    </w:p>
    <w:p w:rsidR="00884F64" w:rsidRDefault="00884F64" w:rsidP="00884F64">
      <w:pPr>
        <w:pStyle w:val="Bezodstpw"/>
        <w:jc w:val="both"/>
      </w:pPr>
      <w:r w:rsidRPr="00E7560B">
        <w:rPr>
          <w:noProof/>
        </w:rPr>
        <w:drawing>
          <wp:inline distT="0" distB="0" distL="0" distR="0">
            <wp:extent cx="4196485" cy="2520000"/>
            <wp:effectExtent l="19050" t="0" r="0" b="0"/>
            <wp:docPr id="2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196485" cy="2520000"/>
                    </a:xfrm>
                    <a:prstGeom prst="rect">
                      <a:avLst/>
                    </a:prstGeom>
                    <a:noFill/>
                  </pic:spPr>
                </pic:pic>
              </a:graphicData>
            </a:graphic>
          </wp:inline>
        </w:drawing>
      </w:r>
    </w:p>
    <w:p w:rsidR="00884F64" w:rsidRDefault="00884F64" w:rsidP="00884F64">
      <w:pPr>
        <w:pStyle w:val="Bezodstpw"/>
        <w:jc w:val="both"/>
      </w:pPr>
    </w:p>
    <w:p w:rsidR="00884F64" w:rsidRDefault="00884F64" w:rsidP="00884F64">
      <w:pPr>
        <w:pStyle w:val="Bezodstpw"/>
        <w:jc w:val="both"/>
      </w:pPr>
      <w:r>
        <w:t xml:space="preserve">Tabela: Zachowanie indeksu WIG 250 oraz indeksu WIG 20 w okresie 12 miesięcy po utworzeniu się na tworzonym w oparciu o dane miesięczne </w:t>
      </w:r>
      <w:r w:rsidR="00A23A40">
        <w:t xml:space="preserve">wykresie </w:t>
      </w:r>
      <w:r>
        <w:t xml:space="preserve">formacji </w:t>
      </w:r>
      <w:r w:rsidR="00A23A40">
        <w:t>o</w:t>
      </w:r>
      <w:r>
        <w:t>bjęcia hossy po uprzednim wejściu oscylatora stochastycznego do strefy wyprzedania w okresie grudzień 2009 roku – styczeń 2010 roku</w:t>
      </w:r>
    </w:p>
    <w:p w:rsidR="00884F64" w:rsidRDefault="00884F64" w:rsidP="00884F64">
      <w:pPr>
        <w:pStyle w:val="Bezodstpw"/>
        <w:jc w:val="both"/>
      </w:pPr>
    </w:p>
    <w:tbl>
      <w:tblPr>
        <w:tblStyle w:val="Tabela-Siatka"/>
        <w:tblW w:w="0" w:type="auto"/>
        <w:tblLook w:val="04A0"/>
      </w:tblPr>
      <w:tblGrid>
        <w:gridCol w:w="4606"/>
        <w:gridCol w:w="4606"/>
      </w:tblGrid>
      <w:tr w:rsidR="00884F64" w:rsidTr="008022C0">
        <w:tc>
          <w:tcPr>
            <w:tcW w:w="4606" w:type="dxa"/>
          </w:tcPr>
          <w:p w:rsidR="00884F64" w:rsidRDefault="00884F64" w:rsidP="008022C0">
            <w:pPr>
              <w:pStyle w:val="Bezodstpw"/>
              <w:jc w:val="center"/>
            </w:pPr>
            <w:r>
              <w:t>WIG 250</w:t>
            </w:r>
          </w:p>
        </w:tc>
        <w:tc>
          <w:tcPr>
            <w:tcW w:w="4606" w:type="dxa"/>
          </w:tcPr>
          <w:p w:rsidR="00884F64" w:rsidRDefault="00884F64" w:rsidP="008022C0">
            <w:pPr>
              <w:pStyle w:val="Bezodstpw"/>
              <w:jc w:val="center"/>
            </w:pPr>
            <w:r>
              <w:t>8,8 %</w:t>
            </w:r>
          </w:p>
        </w:tc>
      </w:tr>
      <w:tr w:rsidR="00884F64" w:rsidTr="008022C0">
        <w:tc>
          <w:tcPr>
            <w:tcW w:w="4606" w:type="dxa"/>
          </w:tcPr>
          <w:p w:rsidR="00884F64" w:rsidRDefault="00884F64" w:rsidP="008022C0">
            <w:pPr>
              <w:pStyle w:val="Bezodstpw"/>
              <w:jc w:val="center"/>
            </w:pPr>
            <w:r>
              <w:t>WIG 20</w:t>
            </w:r>
          </w:p>
        </w:tc>
        <w:tc>
          <w:tcPr>
            <w:tcW w:w="4606" w:type="dxa"/>
          </w:tcPr>
          <w:p w:rsidR="00884F64" w:rsidRDefault="00884F64" w:rsidP="008022C0">
            <w:pPr>
              <w:pStyle w:val="Bezodstpw"/>
              <w:jc w:val="center"/>
            </w:pPr>
            <w:r>
              <w:t>13,5 %</w:t>
            </w:r>
          </w:p>
        </w:tc>
      </w:tr>
    </w:tbl>
    <w:p w:rsidR="00A23A40" w:rsidRDefault="00A23A40" w:rsidP="00884F64">
      <w:pPr>
        <w:pStyle w:val="Bezodstpw"/>
        <w:jc w:val="both"/>
        <w:rPr>
          <w:noProof/>
        </w:rPr>
      </w:pPr>
    </w:p>
    <w:p w:rsidR="00884F64" w:rsidRDefault="00884F64" w:rsidP="00884F64">
      <w:pPr>
        <w:pStyle w:val="Bezodstpw"/>
        <w:jc w:val="both"/>
        <w:rPr>
          <w:noProof/>
        </w:rPr>
      </w:pPr>
      <w:r>
        <w:rPr>
          <w:noProof/>
        </w:rPr>
        <w:lastRenderedPageBreak/>
        <w:t>Z powyższych rozważań plyną n</w:t>
      </w:r>
      <w:r w:rsidR="00DD59B9">
        <w:rPr>
          <w:noProof/>
        </w:rPr>
        <w:t>a</w:t>
      </w:r>
      <w:r>
        <w:rPr>
          <w:noProof/>
        </w:rPr>
        <w:t xml:space="preserve">stępujące wnioski (oparte, co warto przypopmnieć o wykresy tworzone w oparciu o dane miesięczne) </w:t>
      </w:r>
    </w:p>
    <w:p w:rsidR="00884F64" w:rsidRDefault="00884F64" w:rsidP="00884F64">
      <w:pPr>
        <w:pStyle w:val="Bezodstpw"/>
        <w:jc w:val="both"/>
        <w:rPr>
          <w:noProof/>
        </w:rPr>
      </w:pPr>
    </w:p>
    <w:p w:rsidR="00884F64" w:rsidRDefault="00884F64" w:rsidP="00884F64">
      <w:pPr>
        <w:pStyle w:val="Bezodstpw"/>
        <w:numPr>
          <w:ilvl w:val="0"/>
          <w:numId w:val="3"/>
        </w:numPr>
        <w:jc w:val="both"/>
        <w:rPr>
          <w:noProof/>
        </w:rPr>
      </w:pPr>
      <w:r>
        <w:rPr>
          <w:noProof/>
        </w:rPr>
        <w:t>Dwoma bardzo podobnymi do siebie optym</w:t>
      </w:r>
      <w:r w:rsidR="007C71A1">
        <w:rPr>
          <w:noProof/>
        </w:rPr>
        <w:t>is</w:t>
      </w:r>
      <w:r>
        <w:rPr>
          <w:noProof/>
        </w:rPr>
        <w:t>tycznymi w swej wymowie formacjami świecowymi są</w:t>
      </w:r>
      <w:r w:rsidR="007C71A1">
        <w:rPr>
          <w:noProof/>
        </w:rPr>
        <w:t>:</w:t>
      </w:r>
      <w:r>
        <w:rPr>
          <w:noProof/>
        </w:rPr>
        <w:t xml:space="preserve"> formacja </w:t>
      </w:r>
      <w:r w:rsidRPr="007847D3">
        <w:rPr>
          <w:b/>
          <w:noProof/>
          <w:u w:val="single"/>
        </w:rPr>
        <w:t xml:space="preserve">objęcia hossy oraz </w:t>
      </w:r>
      <w:r w:rsidR="007C71A1">
        <w:rPr>
          <w:b/>
          <w:noProof/>
          <w:u w:val="single"/>
        </w:rPr>
        <w:t xml:space="preserve">formacja </w:t>
      </w:r>
      <w:r w:rsidRPr="007847D3">
        <w:rPr>
          <w:b/>
          <w:noProof/>
          <w:u w:val="single"/>
        </w:rPr>
        <w:t>przenikania hossy</w:t>
      </w:r>
      <w:r>
        <w:rPr>
          <w:noProof/>
        </w:rPr>
        <w:t xml:space="preserve"> </w:t>
      </w:r>
    </w:p>
    <w:p w:rsidR="00884F64" w:rsidRDefault="00884F64" w:rsidP="00884F64">
      <w:pPr>
        <w:pStyle w:val="Bezodstpw"/>
        <w:numPr>
          <w:ilvl w:val="0"/>
          <w:numId w:val="3"/>
        </w:numPr>
        <w:jc w:val="both"/>
        <w:rPr>
          <w:noProof/>
        </w:rPr>
      </w:pPr>
      <w:r>
        <w:rPr>
          <w:noProof/>
        </w:rPr>
        <w:t>Obie formacje zapowiadają zmianę tren</w:t>
      </w:r>
      <w:r w:rsidR="007C71A1">
        <w:rPr>
          <w:noProof/>
        </w:rPr>
        <w:t>d</w:t>
      </w:r>
      <w:r>
        <w:rPr>
          <w:noProof/>
        </w:rPr>
        <w:t>u spadk</w:t>
      </w:r>
      <w:r w:rsidR="007C71A1">
        <w:rPr>
          <w:noProof/>
        </w:rPr>
        <w:t>owego</w:t>
      </w:r>
      <w:r>
        <w:rPr>
          <w:noProof/>
        </w:rPr>
        <w:t xml:space="preserve"> na wzrostowy</w:t>
      </w:r>
    </w:p>
    <w:p w:rsidR="00884F64" w:rsidRPr="007C71A1" w:rsidRDefault="00884F64" w:rsidP="00884F64">
      <w:pPr>
        <w:pStyle w:val="Bezodstpw"/>
        <w:numPr>
          <w:ilvl w:val="0"/>
          <w:numId w:val="3"/>
        </w:numPr>
        <w:jc w:val="both"/>
        <w:rPr>
          <w:b/>
          <w:noProof/>
          <w:u w:val="single"/>
        </w:rPr>
      </w:pPr>
      <w:r>
        <w:rPr>
          <w:noProof/>
        </w:rPr>
        <w:t>Na wykresie si</w:t>
      </w:r>
      <w:r w:rsidR="007C71A1">
        <w:rPr>
          <w:noProof/>
        </w:rPr>
        <w:t>ł</w:t>
      </w:r>
      <w:r>
        <w:rPr>
          <w:noProof/>
        </w:rPr>
        <w:t>y względnej WIG2</w:t>
      </w:r>
      <w:r w:rsidR="00492715">
        <w:rPr>
          <w:noProof/>
        </w:rPr>
        <w:t>5</w:t>
      </w:r>
      <w:r>
        <w:rPr>
          <w:noProof/>
        </w:rPr>
        <w:t xml:space="preserve">0/WIG 20 tworzonym w oparciu o dane miesięczne ukształtowała się w okresie sierpień – wrzesień 2014 roku </w:t>
      </w:r>
      <w:r w:rsidRPr="007C71A1">
        <w:rPr>
          <w:b/>
          <w:noProof/>
          <w:u w:val="single"/>
        </w:rPr>
        <w:t>formacja przenikania hossy</w:t>
      </w:r>
    </w:p>
    <w:p w:rsidR="00884F64" w:rsidRDefault="00884F64" w:rsidP="00884F64">
      <w:pPr>
        <w:pStyle w:val="Bezodstpw"/>
        <w:numPr>
          <w:ilvl w:val="0"/>
          <w:numId w:val="3"/>
        </w:numPr>
        <w:jc w:val="both"/>
        <w:rPr>
          <w:noProof/>
        </w:rPr>
      </w:pPr>
      <w:r>
        <w:rPr>
          <w:noProof/>
        </w:rPr>
        <w:t>Zak</w:t>
      </w:r>
      <w:r w:rsidR="007C71A1">
        <w:rPr>
          <w:noProof/>
        </w:rPr>
        <w:t>ł</w:t>
      </w:r>
      <w:r>
        <w:rPr>
          <w:noProof/>
        </w:rPr>
        <w:t xml:space="preserve">ada się, że formcja ta </w:t>
      </w:r>
      <w:r w:rsidRPr="007C71A1">
        <w:rPr>
          <w:b/>
          <w:noProof/>
          <w:u w:val="single"/>
        </w:rPr>
        <w:t>(przenikania hossy lub objęcia hossy</w:t>
      </w:r>
      <w:r w:rsidR="008022C0" w:rsidRPr="007C71A1">
        <w:rPr>
          <w:b/>
          <w:noProof/>
          <w:u w:val="single"/>
        </w:rPr>
        <w:t>)</w:t>
      </w:r>
      <w:r w:rsidR="008022C0">
        <w:rPr>
          <w:noProof/>
        </w:rPr>
        <w:t xml:space="preserve"> ma szczególnie silny wydźwięk</w:t>
      </w:r>
      <w:r>
        <w:rPr>
          <w:noProof/>
        </w:rPr>
        <w:t xml:space="preserve"> wówczas, gdy pojawia się po uprzednim wejściu oscylatora stochasty</w:t>
      </w:r>
      <w:r w:rsidR="00480101">
        <w:rPr>
          <w:noProof/>
        </w:rPr>
        <w:t>cznego</w:t>
      </w:r>
      <w:r>
        <w:rPr>
          <w:noProof/>
        </w:rPr>
        <w:t xml:space="preserve"> do strefy wyprzedania</w:t>
      </w:r>
    </w:p>
    <w:p w:rsidR="00884F64" w:rsidRDefault="00884F64" w:rsidP="00884F64">
      <w:pPr>
        <w:pStyle w:val="Bezodstpw"/>
        <w:numPr>
          <w:ilvl w:val="0"/>
          <w:numId w:val="3"/>
        </w:numPr>
        <w:jc w:val="both"/>
        <w:rPr>
          <w:noProof/>
        </w:rPr>
      </w:pPr>
      <w:r>
        <w:rPr>
          <w:noProof/>
        </w:rPr>
        <w:t xml:space="preserve">W dotychczasowej historii GPW w Warszawie </w:t>
      </w:r>
      <w:r w:rsidRPr="007847D3">
        <w:rPr>
          <w:b/>
          <w:noProof/>
          <w:u w:val="single"/>
        </w:rPr>
        <w:t>6 razy</w:t>
      </w:r>
      <w:r>
        <w:rPr>
          <w:noProof/>
        </w:rPr>
        <w:t xml:space="preserve"> mieliśmy do czynienia z prz</w:t>
      </w:r>
      <w:r w:rsidR="00977F23">
        <w:rPr>
          <w:noProof/>
        </w:rPr>
        <w:t>y</w:t>
      </w:r>
      <w:r>
        <w:rPr>
          <w:noProof/>
        </w:rPr>
        <w:t xml:space="preserve">padkami, w których po uprzednim wejściu oscylatora stochastycznego do strefy wyprzedania na wykresie WIG 250 / WIG20 tworzonym w oparciu o </w:t>
      </w:r>
      <w:r w:rsidR="008022C0">
        <w:rPr>
          <w:noProof/>
        </w:rPr>
        <w:t>dane miesię</w:t>
      </w:r>
      <w:r w:rsidR="00480101">
        <w:rPr>
          <w:noProof/>
        </w:rPr>
        <w:t>czne</w:t>
      </w:r>
      <w:r>
        <w:rPr>
          <w:noProof/>
        </w:rPr>
        <w:t xml:space="preserve"> pojawiła się formacja obj</w:t>
      </w:r>
      <w:r w:rsidR="00977F23">
        <w:rPr>
          <w:noProof/>
        </w:rPr>
        <w:t>ę</w:t>
      </w:r>
      <w:r>
        <w:rPr>
          <w:noProof/>
        </w:rPr>
        <w:t>cia hossy (która w swym wydźwięku jest bardzo podobna do form</w:t>
      </w:r>
      <w:r w:rsidR="008022C0">
        <w:rPr>
          <w:noProof/>
        </w:rPr>
        <w:t>a</w:t>
      </w:r>
      <w:r>
        <w:rPr>
          <w:noProof/>
        </w:rPr>
        <w:t>cji przenikania hossy)</w:t>
      </w:r>
    </w:p>
    <w:p w:rsidR="00884F64" w:rsidRDefault="00884F64" w:rsidP="00884F64">
      <w:pPr>
        <w:pStyle w:val="Bezodstpw"/>
        <w:numPr>
          <w:ilvl w:val="0"/>
          <w:numId w:val="3"/>
        </w:numPr>
        <w:jc w:val="both"/>
        <w:rPr>
          <w:noProof/>
        </w:rPr>
      </w:pPr>
      <w:r>
        <w:rPr>
          <w:noProof/>
        </w:rPr>
        <w:t>Po pojaw</w:t>
      </w:r>
      <w:r w:rsidR="00977F23">
        <w:rPr>
          <w:noProof/>
        </w:rPr>
        <w:t>ieniu</w:t>
      </w:r>
      <w:r>
        <w:rPr>
          <w:noProof/>
        </w:rPr>
        <w:t xml:space="preserve"> się w przeszłości tego typu ukladu technicznego (pojawieniu się formacji obięcia hossy po uprzednim wej</w:t>
      </w:r>
      <w:r w:rsidR="008022C0">
        <w:rPr>
          <w:noProof/>
        </w:rPr>
        <w:t>ś</w:t>
      </w:r>
      <w:r>
        <w:rPr>
          <w:noProof/>
        </w:rPr>
        <w:t>ciu oscylatora stochastycznego do strefy wyprzedanIa) zaw</w:t>
      </w:r>
      <w:r w:rsidR="008022C0">
        <w:rPr>
          <w:noProof/>
        </w:rPr>
        <w:t>s</w:t>
      </w:r>
      <w:r>
        <w:rPr>
          <w:noProof/>
        </w:rPr>
        <w:t xml:space="preserve">ze było tak, że w okresie kolejnych 12 </w:t>
      </w:r>
      <w:r w:rsidR="008022C0">
        <w:rPr>
          <w:noProof/>
        </w:rPr>
        <w:t>miesięcy rósł zarówno indeks mał</w:t>
      </w:r>
      <w:r>
        <w:rPr>
          <w:noProof/>
        </w:rPr>
        <w:t>ych spólek jak również inde</w:t>
      </w:r>
      <w:r w:rsidR="008022C0">
        <w:rPr>
          <w:noProof/>
        </w:rPr>
        <w:t>k</w:t>
      </w:r>
      <w:r>
        <w:rPr>
          <w:noProof/>
        </w:rPr>
        <w:t>s du</w:t>
      </w:r>
      <w:r w:rsidR="008022C0">
        <w:rPr>
          <w:noProof/>
        </w:rPr>
        <w:t>ż</w:t>
      </w:r>
      <w:r>
        <w:rPr>
          <w:noProof/>
        </w:rPr>
        <w:t>ych spółek, przy c</w:t>
      </w:r>
      <w:r w:rsidR="00977F23">
        <w:rPr>
          <w:noProof/>
        </w:rPr>
        <w:t xml:space="preserve">zym średnio rzecz biorąc indeks </w:t>
      </w:r>
      <w:r>
        <w:rPr>
          <w:noProof/>
        </w:rPr>
        <w:t>małych spółek rósł mocniej</w:t>
      </w:r>
    </w:p>
    <w:p w:rsidR="00884F64" w:rsidRPr="00C5683E" w:rsidRDefault="00884F64" w:rsidP="00884F64">
      <w:pPr>
        <w:pStyle w:val="Bezodstpw"/>
        <w:numPr>
          <w:ilvl w:val="0"/>
          <w:numId w:val="3"/>
        </w:numPr>
        <w:jc w:val="both"/>
        <w:rPr>
          <w:noProof/>
        </w:rPr>
      </w:pPr>
      <w:r>
        <w:rPr>
          <w:noProof/>
        </w:rPr>
        <w:t xml:space="preserve">Biorąc </w:t>
      </w:r>
      <w:r w:rsidR="008022C0">
        <w:rPr>
          <w:noProof/>
        </w:rPr>
        <w:t xml:space="preserve">to </w:t>
      </w:r>
      <w:r>
        <w:rPr>
          <w:noProof/>
        </w:rPr>
        <w:t xml:space="preserve">pod uwagę i </w:t>
      </w:r>
      <w:r w:rsidRPr="007847D3">
        <w:rPr>
          <w:b/>
          <w:noProof/>
          <w:u w:val="single"/>
        </w:rPr>
        <w:t>opierając się tylko na powyższym rozumowaniu technicznym</w:t>
      </w:r>
      <w:r>
        <w:rPr>
          <w:noProof/>
        </w:rPr>
        <w:t xml:space="preserve"> można spodziewać się w okresie od końca września 2014 roku do końca września 2015 roku zarówno wzrostów indeksu WIG 250 jak również indeksu WIG 20, przy czym istnieje duże prawdopodobieństwo, że </w:t>
      </w:r>
      <w:r w:rsidRPr="007847D3">
        <w:rPr>
          <w:b/>
          <w:noProof/>
          <w:u w:val="single"/>
        </w:rPr>
        <w:t>zachowanie in</w:t>
      </w:r>
      <w:r w:rsidR="008022C0">
        <w:rPr>
          <w:b/>
          <w:noProof/>
          <w:u w:val="single"/>
        </w:rPr>
        <w:t>deksu</w:t>
      </w:r>
      <w:r w:rsidRPr="007847D3">
        <w:rPr>
          <w:b/>
          <w:noProof/>
          <w:u w:val="single"/>
        </w:rPr>
        <w:t xml:space="preserve"> małych spółek (WIG 250) będzie w</w:t>
      </w:r>
      <w:r w:rsidR="00977F23">
        <w:rPr>
          <w:b/>
          <w:noProof/>
          <w:u w:val="single"/>
        </w:rPr>
        <w:t xml:space="preserve"> tym okresie lepsze niż indeksu</w:t>
      </w:r>
      <w:r w:rsidRPr="007847D3">
        <w:rPr>
          <w:b/>
          <w:noProof/>
          <w:u w:val="single"/>
        </w:rPr>
        <w:t xml:space="preserve"> spó</w:t>
      </w:r>
      <w:r w:rsidR="00BB4F68">
        <w:rPr>
          <w:b/>
          <w:noProof/>
          <w:u w:val="single"/>
        </w:rPr>
        <w:t>ł</w:t>
      </w:r>
      <w:r w:rsidRPr="007847D3">
        <w:rPr>
          <w:b/>
          <w:noProof/>
          <w:u w:val="single"/>
        </w:rPr>
        <w:t>ek du</w:t>
      </w:r>
      <w:r w:rsidR="007C71A1">
        <w:rPr>
          <w:b/>
          <w:noProof/>
          <w:u w:val="single"/>
        </w:rPr>
        <w:t>ż</w:t>
      </w:r>
      <w:r w:rsidRPr="007847D3">
        <w:rPr>
          <w:b/>
          <w:noProof/>
          <w:u w:val="single"/>
        </w:rPr>
        <w:t>ych (WIG20)</w:t>
      </w:r>
    </w:p>
    <w:p w:rsidR="00884F64" w:rsidRDefault="00884F64" w:rsidP="00884F64">
      <w:pPr>
        <w:pStyle w:val="Bezodstpw"/>
        <w:jc w:val="both"/>
        <w:rPr>
          <w:b/>
          <w:noProof/>
          <w:u w:val="single"/>
        </w:rPr>
      </w:pPr>
    </w:p>
    <w:p w:rsidR="00884F64" w:rsidRDefault="00884F64" w:rsidP="00884F64">
      <w:pPr>
        <w:pStyle w:val="Bezodstpw"/>
        <w:pBdr>
          <w:top w:val="single" w:sz="4" w:space="1" w:color="auto"/>
          <w:left w:val="single" w:sz="4" w:space="4" w:color="auto"/>
          <w:bottom w:val="single" w:sz="4" w:space="1" w:color="auto"/>
          <w:right w:val="single" w:sz="4" w:space="4" w:color="auto"/>
        </w:pBdr>
        <w:jc w:val="center"/>
      </w:pPr>
      <w:r>
        <w:t xml:space="preserve">Wykres do przemyślenia – refleksje </w:t>
      </w:r>
    </w:p>
    <w:p w:rsidR="00884F64" w:rsidRDefault="00884F64" w:rsidP="00884F64">
      <w:pPr>
        <w:pStyle w:val="Bezodstpw"/>
        <w:jc w:val="both"/>
      </w:pPr>
    </w:p>
    <w:p w:rsidR="00884F64" w:rsidRDefault="00884F64" w:rsidP="00884F64">
      <w:pPr>
        <w:pStyle w:val="Bezodstpw"/>
        <w:jc w:val="both"/>
      </w:pPr>
      <w:r>
        <w:t xml:space="preserve">W pierwszym numerze ,,Raportu Tygodniowego” z 8 września 2014 roku pojawiły się wykresy akcji czterech spółek. Były to wykresy akcji następujących spółek: </w:t>
      </w:r>
    </w:p>
    <w:p w:rsidR="00884F64" w:rsidRDefault="00884F64" w:rsidP="00884F64">
      <w:pPr>
        <w:pStyle w:val="Bezodstpw"/>
        <w:jc w:val="both"/>
      </w:pPr>
    </w:p>
    <w:p w:rsidR="00884F64" w:rsidRDefault="00884F64" w:rsidP="00884F64">
      <w:pPr>
        <w:pStyle w:val="Bezodstpw"/>
        <w:numPr>
          <w:ilvl w:val="0"/>
          <w:numId w:val="1"/>
        </w:numPr>
        <w:jc w:val="both"/>
      </w:pPr>
      <w:proofErr w:type="spellStart"/>
      <w:r>
        <w:t>Immobile</w:t>
      </w:r>
      <w:proofErr w:type="spellEnd"/>
    </w:p>
    <w:p w:rsidR="00884F64" w:rsidRDefault="00884F64" w:rsidP="00884F64">
      <w:pPr>
        <w:pStyle w:val="Bezodstpw"/>
        <w:numPr>
          <w:ilvl w:val="0"/>
          <w:numId w:val="1"/>
        </w:numPr>
        <w:jc w:val="both"/>
      </w:pPr>
      <w:r>
        <w:t>Lena</w:t>
      </w:r>
    </w:p>
    <w:p w:rsidR="00884F64" w:rsidRDefault="00884F64" w:rsidP="00884F64">
      <w:pPr>
        <w:pStyle w:val="Bezodstpw"/>
        <w:numPr>
          <w:ilvl w:val="0"/>
          <w:numId w:val="1"/>
        </w:numPr>
        <w:jc w:val="both"/>
      </w:pPr>
      <w:proofErr w:type="spellStart"/>
      <w:r>
        <w:t>Netmedia</w:t>
      </w:r>
      <w:proofErr w:type="spellEnd"/>
      <w:r>
        <w:t xml:space="preserve"> </w:t>
      </w:r>
    </w:p>
    <w:p w:rsidR="00884F64" w:rsidRDefault="00884F64" w:rsidP="00884F64">
      <w:pPr>
        <w:pStyle w:val="Bezodstpw"/>
        <w:numPr>
          <w:ilvl w:val="0"/>
          <w:numId w:val="1"/>
        </w:numPr>
        <w:jc w:val="both"/>
      </w:pPr>
      <w:r>
        <w:t>Rafako</w:t>
      </w:r>
    </w:p>
    <w:p w:rsidR="00884F64" w:rsidRDefault="00884F64" w:rsidP="00884F64">
      <w:pPr>
        <w:pStyle w:val="Bezodstpw"/>
        <w:jc w:val="both"/>
      </w:pPr>
    </w:p>
    <w:p w:rsidR="00540E84" w:rsidRDefault="00884F64" w:rsidP="00884F64">
      <w:pPr>
        <w:pStyle w:val="Bezodstpw"/>
        <w:jc w:val="both"/>
      </w:pPr>
      <w:r>
        <w:t xml:space="preserve">Kryterium pojawienia się wykresu akcji danej spółki w tej rubryce jest </w:t>
      </w:r>
      <w:r w:rsidRPr="0053119C">
        <w:rPr>
          <w:b/>
        </w:rPr>
        <w:t>wybicie z formacji podwójnego dna</w:t>
      </w:r>
      <w:r>
        <w:t xml:space="preserve">. </w:t>
      </w:r>
    </w:p>
    <w:p w:rsidR="002D2D4D" w:rsidRDefault="002D2D4D" w:rsidP="00884F64">
      <w:pPr>
        <w:pStyle w:val="Bezodstpw"/>
        <w:jc w:val="both"/>
      </w:pPr>
    </w:p>
    <w:p w:rsidR="00884F64" w:rsidRDefault="00884F64" w:rsidP="00884F64">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3 października 2014 roku oraz procentowa zmiana indeksu WIG 20 w tym okresie. </w:t>
      </w:r>
    </w:p>
    <w:tbl>
      <w:tblPr>
        <w:tblStyle w:val="Tabela-Siatka"/>
        <w:tblW w:w="0" w:type="auto"/>
        <w:tblLook w:val="04A0"/>
      </w:tblPr>
      <w:tblGrid>
        <w:gridCol w:w="3402"/>
        <w:gridCol w:w="2302"/>
        <w:gridCol w:w="2303"/>
        <w:gridCol w:w="1134"/>
      </w:tblGrid>
      <w:tr w:rsidR="00884F64" w:rsidTr="008022C0">
        <w:tc>
          <w:tcPr>
            <w:tcW w:w="3402" w:type="dxa"/>
          </w:tcPr>
          <w:p w:rsidR="00884F64" w:rsidRDefault="00884F64" w:rsidP="008022C0">
            <w:pPr>
              <w:pStyle w:val="Bezodstpw"/>
              <w:jc w:val="center"/>
            </w:pPr>
            <w:r>
              <w:t>Instrument finansowy</w:t>
            </w:r>
          </w:p>
        </w:tc>
        <w:tc>
          <w:tcPr>
            <w:tcW w:w="2302" w:type="dxa"/>
          </w:tcPr>
          <w:p w:rsidR="00884F64" w:rsidRDefault="00884F64" w:rsidP="008022C0">
            <w:pPr>
              <w:pStyle w:val="Bezodstpw"/>
              <w:jc w:val="center"/>
            </w:pPr>
            <w:r>
              <w:t>Poziom – 05.09.2014</w:t>
            </w:r>
          </w:p>
        </w:tc>
        <w:tc>
          <w:tcPr>
            <w:tcW w:w="2303" w:type="dxa"/>
          </w:tcPr>
          <w:p w:rsidR="00884F64" w:rsidRDefault="00884F64" w:rsidP="008022C0">
            <w:pPr>
              <w:pStyle w:val="Bezodstpw"/>
              <w:jc w:val="center"/>
            </w:pPr>
            <w:r>
              <w:t>Poziom – 03.10.2014</w:t>
            </w:r>
          </w:p>
        </w:tc>
        <w:tc>
          <w:tcPr>
            <w:tcW w:w="1134" w:type="dxa"/>
          </w:tcPr>
          <w:p w:rsidR="00884F64" w:rsidRDefault="00884F64" w:rsidP="008022C0">
            <w:pPr>
              <w:pStyle w:val="Bezodstpw"/>
              <w:jc w:val="center"/>
            </w:pPr>
            <w:r>
              <w:t>Zmiana (w %)</w:t>
            </w:r>
          </w:p>
        </w:tc>
      </w:tr>
      <w:tr w:rsidR="00884F64" w:rsidTr="008022C0">
        <w:tc>
          <w:tcPr>
            <w:tcW w:w="3402" w:type="dxa"/>
          </w:tcPr>
          <w:p w:rsidR="00884F64" w:rsidRDefault="00884F64" w:rsidP="008022C0">
            <w:pPr>
              <w:pStyle w:val="Bezodstpw"/>
              <w:jc w:val="center"/>
            </w:pPr>
            <w:r>
              <w:t xml:space="preserve">Akcja spółki </w:t>
            </w:r>
            <w:proofErr w:type="spellStart"/>
            <w:r>
              <w:t>Immobile</w:t>
            </w:r>
            <w:proofErr w:type="spellEnd"/>
          </w:p>
        </w:tc>
        <w:tc>
          <w:tcPr>
            <w:tcW w:w="2302" w:type="dxa"/>
          </w:tcPr>
          <w:p w:rsidR="00884F64" w:rsidRDefault="00884F64" w:rsidP="008022C0">
            <w:pPr>
              <w:pStyle w:val="Bezodstpw"/>
              <w:jc w:val="center"/>
            </w:pPr>
            <w:r>
              <w:t>2,04 zł.</w:t>
            </w:r>
          </w:p>
        </w:tc>
        <w:tc>
          <w:tcPr>
            <w:tcW w:w="2303" w:type="dxa"/>
          </w:tcPr>
          <w:p w:rsidR="00884F64" w:rsidRDefault="00884F64" w:rsidP="008022C0">
            <w:pPr>
              <w:pStyle w:val="Bezodstpw"/>
              <w:jc w:val="center"/>
            </w:pPr>
            <w:r>
              <w:t xml:space="preserve">2,21 zł. </w:t>
            </w:r>
          </w:p>
        </w:tc>
        <w:tc>
          <w:tcPr>
            <w:tcW w:w="1134" w:type="dxa"/>
          </w:tcPr>
          <w:p w:rsidR="00884F64" w:rsidRDefault="00884F64" w:rsidP="008022C0">
            <w:pPr>
              <w:pStyle w:val="Bezodstpw"/>
              <w:jc w:val="center"/>
            </w:pPr>
            <w:r>
              <w:t xml:space="preserve">  +8,3 %</w:t>
            </w:r>
          </w:p>
        </w:tc>
      </w:tr>
      <w:tr w:rsidR="00884F64" w:rsidTr="008022C0">
        <w:tc>
          <w:tcPr>
            <w:tcW w:w="3402" w:type="dxa"/>
          </w:tcPr>
          <w:p w:rsidR="00884F64" w:rsidRDefault="00884F64" w:rsidP="008022C0">
            <w:pPr>
              <w:pStyle w:val="Bezodstpw"/>
              <w:jc w:val="center"/>
            </w:pPr>
            <w:r>
              <w:t>Akcja spółki Lena</w:t>
            </w:r>
          </w:p>
        </w:tc>
        <w:tc>
          <w:tcPr>
            <w:tcW w:w="2302" w:type="dxa"/>
          </w:tcPr>
          <w:p w:rsidR="00884F64" w:rsidRDefault="00884F64" w:rsidP="008022C0">
            <w:pPr>
              <w:pStyle w:val="Bezodstpw"/>
              <w:jc w:val="center"/>
            </w:pPr>
            <w:r>
              <w:t xml:space="preserve">3,99 zł. </w:t>
            </w:r>
          </w:p>
        </w:tc>
        <w:tc>
          <w:tcPr>
            <w:tcW w:w="2303" w:type="dxa"/>
          </w:tcPr>
          <w:p w:rsidR="00884F64" w:rsidRDefault="00884F64" w:rsidP="008022C0">
            <w:pPr>
              <w:pStyle w:val="Bezodstpw"/>
              <w:jc w:val="center"/>
            </w:pPr>
            <w:r>
              <w:t xml:space="preserve">4,05 zł. </w:t>
            </w:r>
          </w:p>
        </w:tc>
        <w:tc>
          <w:tcPr>
            <w:tcW w:w="1134" w:type="dxa"/>
          </w:tcPr>
          <w:p w:rsidR="00884F64" w:rsidRDefault="00884F64" w:rsidP="008022C0">
            <w:pPr>
              <w:pStyle w:val="Bezodstpw"/>
              <w:jc w:val="center"/>
            </w:pPr>
            <w:r>
              <w:t xml:space="preserve"> + 1,5 %</w:t>
            </w:r>
          </w:p>
        </w:tc>
      </w:tr>
      <w:tr w:rsidR="00884F64" w:rsidTr="008022C0">
        <w:tc>
          <w:tcPr>
            <w:tcW w:w="3402" w:type="dxa"/>
          </w:tcPr>
          <w:p w:rsidR="00884F64" w:rsidRDefault="00884F64" w:rsidP="008022C0">
            <w:pPr>
              <w:pStyle w:val="Bezodstpw"/>
              <w:jc w:val="center"/>
            </w:pPr>
            <w:r>
              <w:t xml:space="preserve">Akcja spółki  </w:t>
            </w:r>
            <w:proofErr w:type="spellStart"/>
            <w:r>
              <w:t>Netmedia</w:t>
            </w:r>
            <w:proofErr w:type="spellEnd"/>
          </w:p>
        </w:tc>
        <w:tc>
          <w:tcPr>
            <w:tcW w:w="2302" w:type="dxa"/>
          </w:tcPr>
          <w:p w:rsidR="00884F64" w:rsidRDefault="00884F64" w:rsidP="008022C0">
            <w:pPr>
              <w:pStyle w:val="Bezodstpw"/>
              <w:jc w:val="center"/>
            </w:pPr>
            <w:r>
              <w:t xml:space="preserve">3,63 zł. </w:t>
            </w:r>
          </w:p>
        </w:tc>
        <w:tc>
          <w:tcPr>
            <w:tcW w:w="2303" w:type="dxa"/>
          </w:tcPr>
          <w:p w:rsidR="00884F64" w:rsidRDefault="00884F64" w:rsidP="008022C0">
            <w:pPr>
              <w:pStyle w:val="Bezodstpw"/>
              <w:jc w:val="center"/>
            </w:pPr>
            <w:r>
              <w:t xml:space="preserve">3,61 zł. </w:t>
            </w:r>
          </w:p>
        </w:tc>
        <w:tc>
          <w:tcPr>
            <w:tcW w:w="1134" w:type="dxa"/>
          </w:tcPr>
          <w:p w:rsidR="00884F64" w:rsidRDefault="00884F64" w:rsidP="008022C0">
            <w:pPr>
              <w:pStyle w:val="Bezodstpw"/>
              <w:jc w:val="center"/>
            </w:pPr>
            <w:r>
              <w:t xml:space="preserve">  -0,6 %</w:t>
            </w:r>
          </w:p>
        </w:tc>
      </w:tr>
      <w:tr w:rsidR="00884F64" w:rsidTr="008022C0">
        <w:tc>
          <w:tcPr>
            <w:tcW w:w="3402" w:type="dxa"/>
          </w:tcPr>
          <w:p w:rsidR="00884F64" w:rsidRDefault="00884F64" w:rsidP="008022C0">
            <w:pPr>
              <w:pStyle w:val="Bezodstpw"/>
              <w:jc w:val="center"/>
            </w:pPr>
            <w:r>
              <w:t>Akcja spółki Rafako</w:t>
            </w:r>
          </w:p>
        </w:tc>
        <w:tc>
          <w:tcPr>
            <w:tcW w:w="2302" w:type="dxa"/>
            <w:tcBorders>
              <w:bottom w:val="single" w:sz="4" w:space="0" w:color="auto"/>
            </w:tcBorders>
          </w:tcPr>
          <w:p w:rsidR="00884F64" w:rsidRDefault="00884F64" w:rsidP="008022C0">
            <w:pPr>
              <w:pStyle w:val="Bezodstpw"/>
              <w:jc w:val="center"/>
            </w:pPr>
            <w:r>
              <w:t xml:space="preserve">4,25 zł. </w:t>
            </w:r>
          </w:p>
        </w:tc>
        <w:tc>
          <w:tcPr>
            <w:tcW w:w="2303" w:type="dxa"/>
            <w:tcBorders>
              <w:bottom w:val="single" w:sz="4" w:space="0" w:color="auto"/>
            </w:tcBorders>
          </w:tcPr>
          <w:p w:rsidR="00884F64" w:rsidRDefault="00884F64" w:rsidP="008022C0">
            <w:pPr>
              <w:pStyle w:val="Bezodstpw"/>
              <w:jc w:val="center"/>
            </w:pPr>
            <w:r>
              <w:t xml:space="preserve">5,00 zł. </w:t>
            </w:r>
          </w:p>
        </w:tc>
        <w:tc>
          <w:tcPr>
            <w:tcW w:w="1134" w:type="dxa"/>
          </w:tcPr>
          <w:p w:rsidR="00884F64" w:rsidRDefault="00884F64" w:rsidP="008022C0">
            <w:pPr>
              <w:pStyle w:val="Bezodstpw"/>
              <w:jc w:val="center"/>
            </w:pPr>
            <w:r>
              <w:t>+17,6 %</w:t>
            </w:r>
          </w:p>
        </w:tc>
      </w:tr>
      <w:tr w:rsidR="00884F64" w:rsidTr="008022C0">
        <w:tc>
          <w:tcPr>
            <w:tcW w:w="3402" w:type="dxa"/>
          </w:tcPr>
          <w:p w:rsidR="00884F64" w:rsidRPr="008F668F" w:rsidRDefault="00884F64" w:rsidP="008022C0">
            <w:pPr>
              <w:pStyle w:val="Bezodstpw"/>
              <w:jc w:val="center"/>
              <w:rPr>
                <w:b/>
                <w:color w:val="FF0000"/>
              </w:rPr>
            </w:pPr>
            <w:r w:rsidRPr="008F668F">
              <w:rPr>
                <w:b/>
                <w:color w:val="FF0000"/>
              </w:rPr>
              <w:t>Średnio</w:t>
            </w:r>
          </w:p>
        </w:tc>
        <w:tc>
          <w:tcPr>
            <w:tcW w:w="2302" w:type="dxa"/>
            <w:tcBorders>
              <w:right w:val="nil"/>
            </w:tcBorders>
          </w:tcPr>
          <w:p w:rsidR="00884F64" w:rsidRPr="008F668F" w:rsidRDefault="00884F64" w:rsidP="008022C0">
            <w:pPr>
              <w:pStyle w:val="Bezodstpw"/>
              <w:jc w:val="center"/>
              <w:rPr>
                <w:b/>
                <w:color w:val="FF0000"/>
              </w:rPr>
            </w:pPr>
          </w:p>
        </w:tc>
        <w:tc>
          <w:tcPr>
            <w:tcW w:w="2303" w:type="dxa"/>
            <w:tcBorders>
              <w:left w:val="nil"/>
            </w:tcBorders>
          </w:tcPr>
          <w:p w:rsidR="00884F64" w:rsidRPr="008F668F" w:rsidRDefault="00884F64" w:rsidP="008022C0">
            <w:pPr>
              <w:pStyle w:val="Bezodstpw"/>
              <w:jc w:val="center"/>
              <w:rPr>
                <w:b/>
                <w:color w:val="FF0000"/>
              </w:rPr>
            </w:pPr>
          </w:p>
        </w:tc>
        <w:tc>
          <w:tcPr>
            <w:tcW w:w="1134" w:type="dxa"/>
          </w:tcPr>
          <w:p w:rsidR="00884F64" w:rsidRPr="008F668F" w:rsidRDefault="00884F64" w:rsidP="008022C0">
            <w:pPr>
              <w:pStyle w:val="Bezodstpw"/>
              <w:jc w:val="center"/>
              <w:rPr>
                <w:b/>
                <w:color w:val="FF0000"/>
              </w:rPr>
            </w:pPr>
            <w:r>
              <w:rPr>
                <w:b/>
                <w:color w:val="FF0000"/>
              </w:rPr>
              <w:t>+6,7 %</w:t>
            </w:r>
          </w:p>
        </w:tc>
      </w:tr>
      <w:tr w:rsidR="00884F64" w:rsidTr="008022C0">
        <w:tc>
          <w:tcPr>
            <w:tcW w:w="3402" w:type="dxa"/>
          </w:tcPr>
          <w:p w:rsidR="00884F64" w:rsidRDefault="00884F64" w:rsidP="008022C0">
            <w:pPr>
              <w:pStyle w:val="Bezodstpw"/>
              <w:jc w:val="center"/>
            </w:pPr>
            <w:r>
              <w:t>WIG 20</w:t>
            </w:r>
          </w:p>
        </w:tc>
        <w:tc>
          <w:tcPr>
            <w:tcW w:w="2302" w:type="dxa"/>
          </w:tcPr>
          <w:p w:rsidR="00884F64" w:rsidRDefault="00884F64" w:rsidP="008022C0">
            <w:pPr>
              <w:pStyle w:val="Bezodstpw"/>
              <w:jc w:val="center"/>
            </w:pPr>
            <w:r>
              <w:t xml:space="preserve">2 541,42 pkt. </w:t>
            </w:r>
          </w:p>
        </w:tc>
        <w:tc>
          <w:tcPr>
            <w:tcW w:w="2303" w:type="dxa"/>
          </w:tcPr>
          <w:p w:rsidR="00884F64" w:rsidRDefault="00884F64" w:rsidP="008022C0">
            <w:pPr>
              <w:pStyle w:val="Bezodstpw"/>
              <w:jc w:val="center"/>
            </w:pPr>
            <w:r>
              <w:t>2 444,06 pkt.</w:t>
            </w:r>
          </w:p>
        </w:tc>
        <w:tc>
          <w:tcPr>
            <w:tcW w:w="1134" w:type="dxa"/>
          </w:tcPr>
          <w:p w:rsidR="00884F64" w:rsidRDefault="00884F64" w:rsidP="008022C0">
            <w:pPr>
              <w:pStyle w:val="Bezodstpw"/>
              <w:jc w:val="center"/>
            </w:pPr>
            <w:r>
              <w:t>-3,8 %</w:t>
            </w:r>
          </w:p>
        </w:tc>
      </w:tr>
    </w:tbl>
    <w:p w:rsidR="00884F64" w:rsidRDefault="00884F64" w:rsidP="00884F64">
      <w:pPr>
        <w:pStyle w:val="Bezodstpw"/>
        <w:jc w:val="both"/>
      </w:pPr>
      <w:r>
        <w:lastRenderedPageBreak/>
        <w:t xml:space="preserve">Tabela: Procentowa zmiana ceny akcji spółki, której akcje zostały wymienione w drugim numerze ,,Raportu Tygodniowego” z 15 września 2014 roku w rubryce ,,Wykres do przemyślenia” w okresie od 12 września do 3 października 2014 roku oraz procentowa zmiana indeksu WIG 20 w tym okresie. </w:t>
      </w:r>
    </w:p>
    <w:tbl>
      <w:tblPr>
        <w:tblStyle w:val="Tabela-Siatka"/>
        <w:tblW w:w="0" w:type="auto"/>
        <w:tblLook w:val="04A0"/>
      </w:tblPr>
      <w:tblGrid>
        <w:gridCol w:w="3402"/>
        <w:gridCol w:w="2302"/>
        <w:gridCol w:w="2303"/>
        <w:gridCol w:w="1134"/>
      </w:tblGrid>
      <w:tr w:rsidR="00884F64" w:rsidTr="008022C0">
        <w:tc>
          <w:tcPr>
            <w:tcW w:w="3402" w:type="dxa"/>
          </w:tcPr>
          <w:p w:rsidR="00884F64" w:rsidRDefault="00884F64" w:rsidP="008022C0">
            <w:pPr>
              <w:pStyle w:val="Bezodstpw"/>
              <w:jc w:val="center"/>
            </w:pPr>
            <w:r>
              <w:t>Instrument finansowy</w:t>
            </w:r>
          </w:p>
        </w:tc>
        <w:tc>
          <w:tcPr>
            <w:tcW w:w="2302" w:type="dxa"/>
          </w:tcPr>
          <w:p w:rsidR="00884F64" w:rsidRDefault="00884F64" w:rsidP="008022C0">
            <w:pPr>
              <w:pStyle w:val="Bezodstpw"/>
              <w:jc w:val="center"/>
            </w:pPr>
            <w:r>
              <w:t>Poziom – 12.09.2014</w:t>
            </w:r>
          </w:p>
        </w:tc>
        <w:tc>
          <w:tcPr>
            <w:tcW w:w="2303" w:type="dxa"/>
          </w:tcPr>
          <w:p w:rsidR="00884F64" w:rsidRDefault="00884F64" w:rsidP="008022C0">
            <w:pPr>
              <w:pStyle w:val="Bezodstpw"/>
              <w:jc w:val="center"/>
            </w:pPr>
            <w:r>
              <w:t>Poziom – 03.10.2014</w:t>
            </w:r>
          </w:p>
        </w:tc>
        <w:tc>
          <w:tcPr>
            <w:tcW w:w="1134" w:type="dxa"/>
          </w:tcPr>
          <w:p w:rsidR="00884F64" w:rsidRDefault="00884F64" w:rsidP="008022C0">
            <w:pPr>
              <w:pStyle w:val="Bezodstpw"/>
              <w:jc w:val="center"/>
            </w:pPr>
            <w:r>
              <w:t>Zmiana (w %)</w:t>
            </w:r>
          </w:p>
        </w:tc>
      </w:tr>
      <w:tr w:rsidR="00884F64" w:rsidTr="008022C0">
        <w:tc>
          <w:tcPr>
            <w:tcW w:w="3402" w:type="dxa"/>
          </w:tcPr>
          <w:p w:rsidR="00884F64" w:rsidRDefault="00884F64" w:rsidP="008022C0">
            <w:pPr>
              <w:pStyle w:val="Bezodstpw"/>
              <w:jc w:val="center"/>
            </w:pPr>
            <w:r>
              <w:t>Akcja spółki Boryszew</w:t>
            </w:r>
          </w:p>
        </w:tc>
        <w:tc>
          <w:tcPr>
            <w:tcW w:w="2302" w:type="dxa"/>
          </w:tcPr>
          <w:p w:rsidR="00884F64" w:rsidRDefault="00884F64" w:rsidP="008022C0">
            <w:pPr>
              <w:pStyle w:val="Bezodstpw"/>
              <w:jc w:val="center"/>
            </w:pPr>
            <w:r>
              <w:t>6,50 zł.</w:t>
            </w:r>
          </w:p>
        </w:tc>
        <w:tc>
          <w:tcPr>
            <w:tcW w:w="2303" w:type="dxa"/>
          </w:tcPr>
          <w:p w:rsidR="00884F64" w:rsidRDefault="00884F64" w:rsidP="008022C0">
            <w:pPr>
              <w:pStyle w:val="Bezodstpw"/>
              <w:jc w:val="center"/>
            </w:pPr>
            <w:r>
              <w:t xml:space="preserve">6,32 zł. </w:t>
            </w:r>
          </w:p>
        </w:tc>
        <w:tc>
          <w:tcPr>
            <w:tcW w:w="1134" w:type="dxa"/>
          </w:tcPr>
          <w:p w:rsidR="00884F64" w:rsidRDefault="00884F64" w:rsidP="008022C0">
            <w:pPr>
              <w:pStyle w:val="Bezodstpw"/>
              <w:jc w:val="center"/>
            </w:pPr>
            <w:r>
              <w:t>-2,8 %</w:t>
            </w:r>
          </w:p>
        </w:tc>
      </w:tr>
      <w:tr w:rsidR="00884F64" w:rsidRPr="008F668F" w:rsidTr="008022C0">
        <w:tc>
          <w:tcPr>
            <w:tcW w:w="3402" w:type="dxa"/>
          </w:tcPr>
          <w:p w:rsidR="00884F64" w:rsidRPr="008F668F" w:rsidRDefault="00884F64" w:rsidP="008022C0">
            <w:pPr>
              <w:pStyle w:val="Bezodstpw"/>
              <w:jc w:val="center"/>
              <w:rPr>
                <w:b/>
                <w:color w:val="FF0000"/>
              </w:rPr>
            </w:pPr>
            <w:r w:rsidRPr="008F668F">
              <w:rPr>
                <w:b/>
                <w:color w:val="FF0000"/>
              </w:rPr>
              <w:t>Średnio</w:t>
            </w:r>
          </w:p>
        </w:tc>
        <w:tc>
          <w:tcPr>
            <w:tcW w:w="2302" w:type="dxa"/>
            <w:tcBorders>
              <w:right w:val="nil"/>
            </w:tcBorders>
          </w:tcPr>
          <w:p w:rsidR="00884F64" w:rsidRPr="008F668F" w:rsidRDefault="00884F64" w:rsidP="008022C0">
            <w:pPr>
              <w:pStyle w:val="Bezodstpw"/>
              <w:jc w:val="center"/>
              <w:rPr>
                <w:b/>
                <w:color w:val="FF0000"/>
              </w:rPr>
            </w:pPr>
          </w:p>
        </w:tc>
        <w:tc>
          <w:tcPr>
            <w:tcW w:w="2303" w:type="dxa"/>
            <w:tcBorders>
              <w:left w:val="nil"/>
            </w:tcBorders>
          </w:tcPr>
          <w:p w:rsidR="00884F64" w:rsidRPr="008F668F" w:rsidRDefault="00884F64" w:rsidP="008022C0">
            <w:pPr>
              <w:pStyle w:val="Bezodstpw"/>
              <w:jc w:val="center"/>
              <w:rPr>
                <w:b/>
                <w:color w:val="FF0000"/>
              </w:rPr>
            </w:pPr>
          </w:p>
        </w:tc>
        <w:tc>
          <w:tcPr>
            <w:tcW w:w="1134" w:type="dxa"/>
          </w:tcPr>
          <w:p w:rsidR="00884F64" w:rsidRPr="008F668F" w:rsidRDefault="00884F64" w:rsidP="008022C0">
            <w:pPr>
              <w:pStyle w:val="Bezodstpw"/>
              <w:jc w:val="center"/>
              <w:rPr>
                <w:b/>
                <w:color w:val="FF0000"/>
              </w:rPr>
            </w:pPr>
            <w:r>
              <w:rPr>
                <w:b/>
                <w:color w:val="FF0000"/>
              </w:rPr>
              <w:t>-2,8 %</w:t>
            </w:r>
          </w:p>
        </w:tc>
      </w:tr>
      <w:tr w:rsidR="00884F64" w:rsidTr="008022C0">
        <w:tc>
          <w:tcPr>
            <w:tcW w:w="3402" w:type="dxa"/>
          </w:tcPr>
          <w:p w:rsidR="00884F64" w:rsidRDefault="00884F64" w:rsidP="008022C0">
            <w:pPr>
              <w:pStyle w:val="Bezodstpw"/>
              <w:jc w:val="center"/>
            </w:pPr>
            <w:r>
              <w:t>WIG 20</w:t>
            </w:r>
          </w:p>
        </w:tc>
        <w:tc>
          <w:tcPr>
            <w:tcW w:w="2302" w:type="dxa"/>
          </w:tcPr>
          <w:p w:rsidR="00884F64" w:rsidRDefault="00884F64" w:rsidP="008022C0">
            <w:pPr>
              <w:pStyle w:val="Bezodstpw"/>
              <w:jc w:val="center"/>
            </w:pPr>
            <w:r>
              <w:t xml:space="preserve">2 497,38 pkt. </w:t>
            </w:r>
          </w:p>
        </w:tc>
        <w:tc>
          <w:tcPr>
            <w:tcW w:w="2303" w:type="dxa"/>
          </w:tcPr>
          <w:p w:rsidR="00884F64" w:rsidRDefault="00884F64" w:rsidP="008022C0">
            <w:pPr>
              <w:pStyle w:val="Bezodstpw"/>
              <w:jc w:val="center"/>
            </w:pPr>
            <w:r>
              <w:t>2 444,06 pkt.</w:t>
            </w:r>
          </w:p>
        </w:tc>
        <w:tc>
          <w:tcPr>
            <w:tcW w:w="1134" w:type="dxa"/>
          </w:tcPr>
          <w:p w:rsidR="00884F64" w:rsidRDefault="00884F64" w:rsidP="008022C0">
            <w:pPr>
              <w:pStyle w:val="Bezodstpw"/>
              <w:jc w:val="center"/>
            </w:pPr>
            <w:r>
              <w:t>-2,1 %</w:t>
            </w:r>
          </w:p>
        </w:tc>
      </w:tr>
    </w:tbl>
    <w:p w:rsidR="00884F64" w:rsidRDefault="00884F64" w:rsidP="00884F64">
      <w:pPr>
        <w:pStyle w:val="Bezodstpw"/>
        <w:jc w:val="both"/>
      </w:pPr>
    </w:p>
    <w:p w:rsidR="00884F64" w:rsidRDefault="00884F64" w:rsidP="00884F64">
      <w:pPr>
        <w:pStyle w:val="Bezodstpw"/>
        <w:jc w:val="both"/>
      </w:pPr>
      <w:r>
        <w:t xml:space="preserve">Tabela: Procentowa zmiana ceny akcji spółki, której akcje zostały umieszczone 16 września na stronie internetowej </w:t>
      </w:r>
      <w:hyperlink r:id="rId18" w:history="1">
        <w:r w:rsidRPr="003C5ED1">
          <w:rPr>
            <w:rStyle w:val="Hipercze"/>
          </w:rPr>
          <w:t>www.analizy-rynkowe.pl</w:t>
        </w:r>
      </w:hyperlink>
      <w:r>
        <w:t xml:space="preserve"> w rubryce  ,,Wykres do przemyślenia” w okresie od 15 września do 3 października 2014 roku oraz procentowa zmiana indeksu WIG 20 w tym okresie. </w:t>
      </w:r>
    </w:p>
    <w:p w:rsidR="00884F64" w:rsidRDefault="00884F64" w:rsidP="00884F64">
      <w:pPr>
        <w:pStyle w:val="Bezodstpw"/>
        <w:jc w:val="both"/>
      </w:pPr>
    </w:p>
    <w:tbl>
      <w:tblPr>
        <w:tblStyle w:val="Tabela-Siatka"/>
        <w:tblW w:w="0" w:type="auto"/>
        <w:tblLook w:val="04A0"/>
      </w:tblPr>
      <w:tblGrid>
        <w:gridCol w:w="3402"/>
        <w:gridCol w:w="2302"/>
        <w:gridCol w:w="2303"/>
        <w:gridCol w:w="1134"/>
      </w:tblGrid>
      <w:tr w:rsidR="00884F64" w:rsidTr="008022C0">
        <w:tc>
          <w:tcPr>
            <w:tcW w:w="3402" w:type="dxa"/>
          </w:tcPr>
          <w:p w:rsidR="00884F64" w:rsidRDefault="00884F64" w:rsidP="008022C0">
            <w:pPr>
              <w:pStyle w:val="Bezodstpw"/>
              <w:jc w:val="center"/>
            </w:pPr>
            <w:r>
              <w:t>Instrument finansowy</w:t>
            </w:r>
          </w:p>
        </w:tc>
        <w:tc>
          <w:tcPr>
            <w:tcW w:w="2302" w:type="dxa"/>
          </w:tcPr>
          <w:p w:rsidR="00884F64" w:rsidRDefault="00884F64" w:rsidP="008022C0">
            <w:pPr>
              <w:pStyle w:val="Bezodstpw"/>
              <w:jc w:val="center"/>
            </w:pPr>
            <w:r>
              <w:t>Poziom – 15.09.2014</w:t>
            </w:r>
          </w:p>
        </w:tc>
        <w:tc>
          <w:tcPr>
            <w:tcW w:w="2303" w:type="dxa"/>
          </w:tcPr>
          <w:p w:rsidR="00884F64" w:rsidRDefault="00884F64" w:rsidP="008022C0">
            <w:pPr>
              <w:pStyle w:val="Bezodstpw"/>
              <w:jc w:val="center"/>
            </w:pPr>
            <w:r>
              <w:t>Poziom – 03.10.2014</w:t>
            </w:r>
          </w:p>
        </w:tc>
        <w:tc>
          <w:tcPr>
            <w:tcW w:w="1134" w:type="dxa"/>
          </w:tcPr>
          <w:p w:rsidR="00884F64" w:rsidRDefault="00884F64" w:rsidP="008022C0">
            <w:pPr>
              <w:pStyle w:val="Bezodstpw"/>
              <w:jc w:val="center"/>
            </w:pPr>
            <w:r>
              <w:t>Zmiana (w %)</w:t>
            </w:r>
          </w:p>
        </w:tc>
      </w:tr>
      <w:tr w:rsidR="00884F64" w:rsidTr="008022C0">
        <w:tc>
          <w:tcPr>
            <w:tcW w:w="3402" w:type="dxa"/>
          </w:tcPr>
          <w:p w:rsidR="00884F64" w:rsidRDefault="00884F64" w:rsidP="008022C0">
            <w:pPr>
              <w:pStyle w:val="Bezodstpw"/>
              <w:jc w:val="center"/>
            </w:pPr>
            <w:r>
              <w:t xml:space="preserve">Akcja spółki </w:t>
            </w:r>
            <w:proofErr w:type="spellStart"/>
            <w:r>
              <w:t>Erbud</w:t>
            </w:r>
            <w:proofErr w:type="spellEnd"/>
          </w:p>
        </w:tc>
        <w:tc>
          <w:tcPr>
            <w:tcW w:w="2302" w:type="dxa"/>
          </w:tcPr>
          <w:p w:rsidR="00884F64" w:rsidRDefault="00884F64" w:rsidP="008022C0">
            <w:pPr>
              <w:pStyle w:val="Bezodstpw"/>
              <w:jc w:val="center"/>
            </w:pPr>
            <w:r>
              <w:t>26,5 zł.</w:t>
            </w:r>
          </w:p>
        </w:tc>
        <w:tc>
          <w:tcPr>
            <w:tcW w:w="2303" w:type="dxa"/>
          </w:tcPr>
          <w:p w:rsidR="00884F64" w:rsidRDefault="00884F64" w:rsidP="008022C0">
            <w:pPr>
              <w:pStyle w:val="Bezodstpw"/>
              <w:jc w:val="center"/>
            </w:pPr>
            <w:r>
              <w:t>28,0 zł.</w:t>
            </w:r>
          </w:p>
        </w:tc>
        <w:tc>
          <w:tcPr>
            <w:tcW w:w="1134" w:type="dxa"/>
          </w:tcPr>
          <w:p w:rsidR="00884F64" w:rsidRDefault="00884F64" w:rsidP="008022C0">
            <w:pPr>
              <w:pStyle w:val="Bezodstpw"/>
              <w:jc w:val="center"/>
            </w:pPr>
            <w:r>
              <w:t>+5,7 %</w:t>
            </w:r>
          </w:p>
        </w:tc>
      </w:tr>
      <w:tr w:rsidR="00884F64" w:rsidRPr="008F668F" w:rsidTr="008022C0">
        <w:tc>
          <w:tcPr>
            <w:tcW w:w="3402" w:type="dxa"/>
          </w:tcPr>
          <w:p w:rsidR="00884F64" w:rsidRPr="008F668F" w:rsidRDefault="00884F64" w:rsidP="008022C0">
            <w:pPr>
              <w:pStyle w:val="Bezodstpw"/>
              <w:jc w:val="center"/>
              <w:rPr>
                <w:b/>
                <w:color w:val="FF0000"/>
              </w:rPr>
            </w:pPr>
            <w:r w:rsidRPr="008F668F">
              <w:rPr>
                <w:b/>
                <w:color w:val="FF0000"/>
              </w:rPr>
              <w:t>Średnio</w:t>
            </w:r>
          </w:p>
        </w:tc>
        <w:tc>
          <w:tcPr>
            <w:tcW w:w="2302" w:type="dxa"/>
            <w:tcBorders>
              <w:right w:val="nil"/>
            </w:tcBorders>
          </w:tcPr>
          <w:p w:rsidR="00884F64" w:rsidRPr="008F668F" w:rsidRDefault="00884F64" w:rsidP="008022C0">
            <w:pPr>
              <w:pStyle w:val="Bezodstpw"/>
              <w:jc w:val="center"/>
              <w:rPr>
                <w:b/>
                <w:color w:val="FF0000"/>
              </w:rPr>
            </w:pPr>
          </w:p>
        </w:tc>
        <w:tc>
          <w:tcPr>
            <w:tcW w:w="2303" w:type="dxa"/>
            <w:tcBorders>
              <w:left w:val="nil"/>
            </w:tcBorders>
          </w:tcPr>
          <w:p w:rsidR="00884F64" w:rsidRPr="008F668F" w:rsidRDefault="00884F64" w:rsidP="008022C0">
            <w:pPr>
              <w:pStyle w:val="Bezodstpw"/>
              <w:jc w:val="center"/>
              <w:rPr>
                <w:b/>
                <w:color w:val="FF0000"/>
              </w:rPr>
            </w:pPr>
          </w:p>
        </w:tc>
        <w:tc>
          <w:tcPr>
            <w:tcW w:w="1134" w:type="dxa"/>
          </w:tcPr>
          <w:p w:rsidR="00884F64" w:rsidRPr="008F668F" w:rsidRDefault="00884F64" w:rsidP="008022C0">
            <w:pPr>
              <w:pStyle w:val="Bezodstpw"/>
              <w:jc w:val="center"/>
              <w:rPr>
                <w:b/>
                <w:color w:val="FF0000"/>
              </w:rPr>
            </w:pPr>
            <w:r>
              <w:rPr>
                <w:b/>
                <w:color w:val="FF0000"/>
              </w:rPr>
              <w:t>+5,7 %</w:t>
            </w:r>
          </w:p>
        </w:tc>
      </w:tr>
      <w:tr w:rsidR="00884F64" w:rsidTr="008022C0">
        <w:tc>
          <w:tcPr>
            <w:tcW w:w="3402" w:type="dxa"/>
          </w:tcPr>
          <w:p w:rsidR="00884F64" w:rsidRDefault="00884F64" w:rsidP="008022C0">
            <w:pPr>
              <w:pStyle w:val="Bezodstpw"/>
              <w:jc w:val="center"/>
            </w:pPr>
            <w:r>
              <w:t>WIG 20</w:t>
            </w:r>
          </w:p>
        </w:tc>
        <w:tc>
          <w:tcPr>
            <w:tcW w:w="2302" w:type="dxa"/>
          </w:tcPr>
          <w:p w:rsidR="00884F64" w:rsidRDefault="00884F64" w:rsidP="008022C0">
            <w:pPr>
              <w:pStyle w:val="Bezodstpw"/>
              <w:jc w:val="center"/>
            </w:pPr>
            <w:r>
              <w:t xml:space="preserve">2 489,77 pkt. </w:t>
            </w:r>
          </w:p>
        </w:tc>
        <w:tc>
          <w:tcPr>
            <w:tcW w:w="2303" w:type="dxa"/>
          </w:tcPr>
          <w:p w:rsidR="00884F64" w:rsidRDefault="00884F64" w:rsidP="008022C0">
            <w:pPr>
              <w:pStyle w:val="Bezodstpw"/>
              <w:jc w:val="center"/>
            </w:pPr>
            <w:r>
              <w:t>2 444,06 pkt.</w:t>
            </w:r>
          </w:p>
        </w:tc>
        <w:tc>
          <w:tcPr>
            <w:tcW w:w="1134" w:type="dxa"/>
          </w:tcPr>
          <w:p w:rsidR="00884F64" w:rsidRDefault="00884F64" w:rsidP="008022C0">
            <w:pPr>
              <w:pStyle w:val="Bezodstpw"/>
              <w:jc w:val="center"/>
            </w:pPr>
            <w:r>
              <w:t>-1,8 %</w:t>
            </w:r>
          </w:p>
        </w:tc>
      </w:tr>
    </w:tbl>
    <w:p w:rsidR="00884F64" w:rsidRDefault="00884F64" w:rsidP="00884F64">
      <w:pPr>
        <w:pStyle w:val="Bezodstpw"/>
        <w:jc w:val="both"/>
      </w:pPr>
      <w:r>
        <w:t xml:space="preserve">Tabela: Procentowa zmiana ceny akcji spółki, której akcje zostały wymienione w trzecim numerze ,,Raportu Tygodniowego” z 22 września 2014 roku w rubryce ,,Wykres do przemyślenia” w okresie od 19 września do 3 października 2014 roku oraz procentowa zmiana indeksu WIG 20 w tym okresie. </w:t>
      </w:r>
    </w:p>
    <w:tbl>
      <w:tblPr>
        <w:tblStyle w:val="Tabela-Siatka"/>
        <w:tblW w:w="0" w:type="auto"/>
        <w:tblLook w:val="04A0"/>
      </w:tblPr>
      <w:tblGrid>
        <w:gridCol w:w="3402"/>
        <w:gridCol w:w="2302"/>
        <w:gridCol w:w="2303"/>
        <w:gridCol w:w="1134"/>
      </w:tblGrid>
      <w:tr w:rsidR="00884F64" w:rsidTr="008022C0">
        <w:tc>
          <w:tcPr>
            <w:tcW w:w="3402" w:type="dxa"/>
          </w:tcPr>
          <w:p w:rsidR="00884F64" w:rsidRDefault="00884F64" w:rsidP="008022C0">
            <w:pPr>
              <w:pStyle w:val="Bezodstpw"/>
              <w:jc w:val="center"/>
            </w:pPr>
            <w:r>
              <w:t>Instrument finansowy</w:t>
            </w:r>
          </w:p>
        </w:tc>
        <w:tc>
          <w:tcPr>
            <w:tcW w:w="2302" w:type="dxa"/>
          </w:tcPr>
          <w:p w:rsidR="00884F64" w:rsidRDefault="00884F64" w:rsidP="008022C0">
            <w:pPr>
              <w:pStyle w:val="Bezodstpw"/>
              <w:jc w:val="center"/>
            </w:pPr>
            <w:r>
              <w:t>Poziom – 19.09.2014</w:t>
            </w:r>
          </w:p>
        </w:tc>
        <w:tc>
          <w:tcPr>
            <w:tcW w:w="2303" w:type="dxa"/>
          </w:tcPr>
          <w:p w:rsidR="00884F64" w:rsidRDefault="00884F64" w:rsidP="008022C0">
            <w:pPr>
              <w:pStyle w:val="Bezodstpw"/>
              <w:jc w:val="center"/>
            </w:pPr>
            <w:r>
              <w:t>Poziom – 03.10.2014</w:t>
            </w:r>
          </w:p>
        </w:tc>
        <w:tc>
          <w:tcPr>
            <w:tcW w:w="1134" w:type="dxa"/>
          </w:tcPr>
          <w:p w:rsidR="00884F64" w:rsidRDefault="00884F64" w:rsidP="008022C0">
            <w:pPr>
              <w:pStyle w:val="Bezodstpw"/>
              <w:jc w:val="center"/>
            </w:pPr>
            <w:r>
              <w:t>Zmiana (w %)</w:t>
            </w:r>
          </w:p>
        </w:tc>
      </w:tr>
      <w:tr w:rsidR="00884F64" w:rsidTr="008022C0">
        <w:tc>
          <w:tcPr>
            <w:tcW w:w="3402" w:type="dxa"/>
          </w:tcPr>
          <w:p w:rsidR="00884F64" w:rsidRDefault="00884F64" w:rsidP="008022C0">
            <w:pPr>
              <w:pStyle w:val="Bezodstpw"/>
              <w:jc w:val="center"/>
            </w:pPr>
            <w:r>
              <w:t>Akcja spółki IF Capital</w:t>
            </w:r>
          </w:p>
        </w:tc>
        <w:tc>
          <w:tcPr>
            <w:tcW w:w="2302" w:type="dxa"/>
          </w:tcPr>
          <w:p w:rsidR="00884F64" w:rsidRDefault="00884F64" w:rsidP="008022C0">
            <w:pPr>
              <w:pStyle w:val="Bezodstpw"/>
              <w:jc w:val="center"/>
            </w:pPr>
            <w:r>
              <w:t>1,32 zł.</w:t>
            </w:r>
          </w:p>
        </w:tc>
        <w:tc>
          <w:tcPr>
            <w:tcW w:w="2303" w:type="dxa"/>
          </w:tcPr>
          <w:p w:rsidR="00884F64" w:rsidRDefault="00884F64" w:rsidP="008022C0">
            <w:pPr>
              <w:pStyle w:val="Bezodstpw"/>
              <w:jc w:val="center"/>
            </w:pPr>
            <w:r>
              <w:t xml:space="preserve">1,21 zł. </w:t>
            </w:r>
          </w:p>
        </w:tc>
        <w:tc>
          <w:tcPr>
            <w:tcW w:w="1134" w:type="dxa"/>
          </w:tcPr>
          <w:p w:rsidR="00884F64" w:rsidRDefault="00884F64" w:rsidP="008022C0">
            <w:pPr>
              <w:pStyle w:val="Bezodstpw"/>
              <w:jc w:val="center"/>
            </w:pPr>
            <w:r>
              <w:t>-8,3 %</w:t>
            </w:r>
          </w:p>
        </w:tc>
      </w:tr>
      <w:tr w:rsidR="00884F64" w:rsidRPr="008F668F" w:rsidTr="008022C0">
        <w:tc>
          <w:tcPr>
            <w:tcW w:w="3402" w:type="dxa"/>
          </w:tcPr>
          <w:p w:rsidR="00884F64" w:rsidRPr="008F668F" w:rsidRDefault="00884F64" w:rsidP="008022C0">
            <w:pPr>
              <w:pStyle w:val="Bezodstpw"/>
              <w:jc w:val="center"/>
              <w:rPr>
                <w:b/>
                <w:color w:val="FF0000"/>
              </w:rPr>
            </w:pPr>
            <w:r w:rsidRPr="008F668F">
              <w:rPr>
                <w:b/>
                <w:color w:val="FF0000"/>
              </w:rPr>
              <w:t>Średnio</w:t>
            </w:r>
          </w:p>
        </w:tc>
        <w:tc>
          <w:tcPr>
            <w:tcW w:w="2302" w:type="dxa"/>
            <w:tcBorders>
              <w:right w:val="nil"/>
            </w:tcBorders>
          </w:tcPr>
          <w:p w:rsidR="00884F64" w:rsidRPr="008F668F" w:rsidRDefault="00884F64" w:rsidP="008022C0">
            <w:pPr>
              <w:pStyle w:val="Bezodstpw"/>
              <w:jc w:val="center"/>
              <w:rPr>
                <w:b/>
                <w:color w:val="FF0000"/>
              </w:rPr>
            </w:pPr>
          </w:p>
        </w:tc>
        <w:tc>
          <w:tcPr>
            <w:tcW w:w="2303" w:type="dxa"/>
            <w:tcBorders>
              <w:left w:val="nil"/>
            </w:tcBorders>
          </w:tcPr>
          <w:p w:rsidR="00884F64" w:rsidRPr="008F668F" w:rsidRDefault="00884F64" w:rsidP="008022C0">
            <w:pPr>
              <w:pStyle w:val="Bezodstpw"/>
              <w:jc w:val="center"/>
              <w:rPr>
                <w:b/>
                <w:color w:val="FF0000"/>
              </w:rPr>
            </w:pPr>
          </w:p>
        </w:tc>
        <w:tc>
          <w:tcPr>
            <w:tcW w:w="1134" w:type="dxa"/>
          </w:tcPr>
          <w:p w:rsidR="00884F64" w:rsidRPr="008F668F" w:rsidRDefault="00884F64" w:rsidP="008022C0">
            <w:pPr>
              <w:pStyle w:val="Bezodstpw"/>
              <w:jc w:val="center"/>
              <w:rPr>
                <w:b/>
                <w:color w:val="FF0000"/>
              </w:rPr>
            </w:pPr>
            <w:r>
              <w:rPr>
                <w:b/>
                <w:color w:val="FF0000"/>
              </w:rPr>
              <w:t>-8,3 %</w:t>
            </w:r>
          </w:p>
        </w:tc>
      </w:tr>
      <w:tr w:rsidR="00884F64" w:rsidTr="008022C0">
        <w:tc>
          <w:tcPr>
            <w:tcW w:w="3402" w:type="dxa"/>
          </w:tcPr>
          <w:p w:rsidR="00884F64" w:rsidRDefault="00884F64" w:rsidP="008022C0">
            <w:pPr>
              <w:pStyle w:val="Bezodstpw"/>
              <w:jc w:val="center"/>
            </w:pPr>
            <w:r>
              <w:t>WIG 20</w:t>
            </w:r>
          </w:p>
        </w:tc>
        <w:tc>
          <w:tcPr>
            <w:tcW w:w="2302" w:type="dxa"/>
          </w:tcPr>
          <w:p w:rsidR="00884F64" w:rsidRDefault="00884F64" w:rsidP="008022C0">
            <w:pPr>
              <w:pStyle w:val="Bezodstpw"/>
              <w:jc w:val="center"/>
            </w:pPr>
            <w:r>
              <w:t xml:space="preserve">2 497,38 pkt. </w:t>
            </w:r>
          </w:p>
        </w:tc>
        <w:tc>
          <w:tcPr>
            <w:tcW w:w="2303" w:type="dxa"/>
          </w:tcPr>
          <w:p w:rsidR="00884F64" w:rsidRDefault="00884F64" w:rsidP="008022C0">
            <w:pPr>
              <w:pStyle w:val="Bezodstpw"/>
              <w:jc w:val="center"/>
            </w:pPr>
            <w:r>
              <w:t>2 444,06 pkt.</w:t>
            </w:r>
          </w:p>
        </w:tc>
        <w:tc>
          <w:tcPr>
            <w:tcW w:w="1134" w:type="dxa"/>
          </w:tcPr>
          <w:p w:rsidR="00884F64" w:rsidRDefault="00884F64" w:rsidP="008022C0">
            <w:pPr>
              <w:pStyle w:val="Bezodstpw"/>
              <w:jc w:val="center"/>
            </w:pPr>
            <w:r>
              <w:t>-2,1 %</w:t>
            </w:r>
          </w:p>
        </w:tc>
      </w:tr>
    </w:tbl>
    <w:p w:rsidR="00884F64" w:rsidRDefault="00884F64" w:rsidP="00884F64">
      <w:pPr>
        <w:pStyle w:val="Bezodstpw"/>
        <w:jc w:val="both"/>
      </w:pPr>
    </w:p>
    <w:p w:rsidR="00884F64" w:rsidRDefault="00884F64" w:rsidP="00884F64">
      <w:pPr>
        <w:pStyle w:val="Bezodstpw"/>
        <w:jc w:val="both"/>
      </w:pPr>
      <w:r>
        <w:t xml:space="preserve">Tabela: Procentowa zmiana ceny akcji spółki, której akcje zostały umieszczone 25 września na stronie internetowej </w:t>
      </w:r>
      <w:hyperlink r:id="rId19" w:history="1">
        <w:r w:rsidRPr="003C5ED1">
          <w:rPr>
            <w:rStyle w:val="Hipercze"/>
          </w:rPr>
          <w:t>www.analizy-rynkowe.pl</w:t>
        </w:r>
      </w:hyperlink>
      <w:r>
        <w:t xml:space="preserve"> w rubryce  ,,Wykres do przemyślenia” w okresie od 24 września do 3 października 2014 roku oraz procentowa zmiana indeksu WIG 20 w tym okresie. </w:t>
      </w:r>
    </w:p>
    <w:tbl>
      <w:tblPr>
        <w:tblStyle w:val="Tabela-Siatka"/>
        <w:tblW w:w="0" w:type="auto"/>
        <w:tblLook w:val="04A0"/>
      </w:tblPr>
      <w:tblGrid>
        <w:gridCol w:w="3402"/>
        <w:gridCol w:w="2302"/>
        <w:gridCol w:w="2303"/>
        <w:gridCol w:w="1134"/>
      </w:tblGrid>
      <w:tr w:rsidR="00884F64" w:rsidTr="008022C0">
        <w:tc>
          <w:tcPr>
            <w:tcW w:w="3402" w:type="dxa"/>
          </w:tcPr>
          <w:p w:rsidR="00884F64" w:rsidRDefault="00884F64" w:rsidP="008022C0">
            <w:pPr>
              <w:pStyle w:val="Bezodstpw"/>
              <w:jc w:val="center"/>
            </w:pPr>
            <w:r>
              <w:t>Instrument finansowy</w:t>
            </w:r>
          </w:p>
        </w:tc>
        <w:tc>
          <w:tcPr>
            <w:tcW w:w="2302" w:type="dxa"/>
          </w:tcPr>
          <w:p w:rsidR="00884F64" w:rsidRDefault="00884F64" w:rsidP="008022C0">
            <w:pPr>
              <w:pStyle w:val="Bezodstpw"/>
              <w:jc w:val="center"/>
            </w:pPr>
            <w:r>
              <w:t>Poziom – 24.09.2014</w:t>
            </w:r>
          </w:p>
        </w:tc>
        <w:tc>
          <w:tcPr>
            <w:tcW w:w="2303" w:type="dxa"/>
          </w:tcPr>
          <w:p w:rsidR="00884F64" w:rsidRDefault="00884F64" w:rsidP="008022C0">
            <w:pPr>
              <w:pStyle w:val="Bezodstpw"/>
              <w:jc w:val="center"/>
            </w:pPr>
            <w:r>
              <w:t>Poziom – 03.10.2014</w:t>
            </w:r>
          </w:p>
        </w:tc>
        <w:tc>
          <w:tcPr>
            <w:tcW w:w="1134" w:type="dxa"/>
          </w:tcPr>
          <w:p w:rsidR="00884F64" w:rsidRDefault="00884F64" w:rsidP="008022C0">
            <w:pPr>
              <w:pStyle w:val="Bezodstpw"/>
              <w:jc w:val="center"/>
            </w:pPr>
            <w:r>
              <w:t>Zmiana (w %)</w:t>
            </w:r>
          </w:p>
        </w:tc>
      </w:tr>
      <w:tr w:rsidR="00884F64" w:rsidTr="008022C0">
        <w:tc>
          <w:tcPr>
            <w:tcW w:w="3402" w:type="dxa"/>
          </w:tcPr>
          <w:p w:rsidR="00884F64" w:rsidRDefault="00884F64" w:rsidP="008022C0">
            <w:pPr>
              <w:pStyle w:val="Bezodstpw"/>
              <w:jc w:val="center"/>
            </w:pPr>
            <w:r>
              <w:t>Akcja spółki Capital</w:t>
            </w:r>
            <w:r w:rsidR="007C71A1">
              <w:t xml:space="preserve"> Partners</w:t>
            </w:r>
          </w:p>
        </w:tc>
        <w:tc>
          <w:tcPr>
            <w:tcW w:w="2302" w:type="dxa"/>
          </w:tcPr>
          <w:p w:rsidR="00884F64" w:rsidRDefault="00884F64" w:rsidP="008022C0">
            <w:pPr>
              <w:pStyle w:val="Bezodstpw"/>
              <w:jc w:val="center"/>
            </w:pPr>
            <w:r>
              <w:t>1,85 zł.</w:t>
            </w:r>
          </w:p>
        </w:tc>
        <w:tc>
          <w:tcPr>
            <w:tcW w:w="2303" w:type="dxa"/>
          </w:tcPr>
          <w:p w:rsidR="00884F64" w:rsidRDefault="00884F64" w:rsidP="008022C0">
            <w:pPr>
              <w:pStyle w:val="Bezodstpw"/>
              <w:jc w:val="center"/>
            </w:pPr>
            <w:r>
              <w:t xml:space="preserve">1,90 zł. </w:t>
            </w:r>
          </w:p>
        </w:tc>
        <w:tc>
          <w:tcPr>
            <w:tcW w:w="1134" w:type="dxa"/>
          </w:tcPr>
          <w:p w:rsidR="00884F64" w:rsidRDefault="00884F64" w:rsidP="008022C0">
            <w:pPr>
              <w:pStyle w:val="Bezodstpw"/>
              <w:jc w:val="center"/>
            </w:pPr>
            <w:r>
              <w:t>+2,7 %</w:t>
            </w:r>
          </w:p>
        </w:tc>
      </w:tr>
      <w:tr w:rsidR="00884F64" w:rsidRPr="008F668F" w:rsidTr="008022C0">
        <w:tc>
          <w:tcPr>
            <w:tcW w:w="3402" w:type="dxa"/>
          </w:tcPr>
          <w:p w:rsidR="00884F64" w:rsidRPr="008F668F" w:rsidRDefault="00884F64" w:rsidP="008022C0">
            <w:pPr>
              <w:pStyle w:val="Bezodstpw"/>
              <w:jc w:val="center"/>
              <w:rPr>
                <w:b/>
                <w:color w:val="FF0000"/>
              </w:rPr>
            </w:pPr>
            <w:r w:rsidRPr="008F668F">
              <w:rPr>
                <w:b/>
                <w:color w:val="FF0000"/>
              </w:rPr>
              <w:t>Średnio</w:t>
            </w:r>
          </w:p>
        </w:tc>
        <w:tc>
          <w:tcPr>
            <w:tcW w:w="2302" w:type="dxa"/>
            <w:tcBorders>
              <w:right w:val="nil"/>
            </w:tcBorders>
          </w:tcPr>
          <w:p w:rsidR="00884F64" w:rsidRPr="008F668F" w:rsidRDefault="00884F64" w:rsidP="008022C0">
            <w:pPr>
              <w:pStyle w:val="Bezodstpw"/>
              <w:jc w:val="center"/>
              <w:rPr>
                <w:b/>
                <w:color w:val="FF0000"/>
              </w:rPr>
            </w:pPr>
          </w:p>
        </w:tc>
        <w:tc>
          <w:tcPr>
            <w:tcW w:w="2303" w:type="dxa"/>
            <w:tcBorders>
              <w:left w:val="nil"/>
            </w:tcBorders>
          </w:tcPr>
          <w:p w:rsidR="00884F64" w:rsidRPr="008F668F" w:rsidRDefault="00884F64" w:rsidP="008022C0">
            <w:pPr>
              <w:pStyle w:val="Bezodstpw"/>
              <w:jc w:val="center"/>
              <w:rPr>
                <w:b/>
                <w:color w:val="FF0000"/>
              </w:rPr>
            </w:pPr>
          </w:p>
        </w:tc>
        <w:tc>
          <w:tcPr>
            <w:tcW w:w="1134" w:type="dxa"/>
          </w:tcPr>
          <w:p w:rsidR="00884F64" w:rsidRPr="008F668F" w:rsidRDefault="00884F64" w:rsidP="008022C0">
            <w:pPr>
              <w:pStyle w:val="Bezodstpw"/>
              <w:jc w:val="center"/>
              <w:rPr>
                <w:b/>
                <w:color w:val="FF0000"/>
              </w:rPr>
            </w:pPr>
            <w:r>
              <w:rPr>
                <w:b/>
                <w:color w:val="FF0000"/>
              </w:rPr>
              <w:t>+2,7 %</w:t>
            </w:r>
          </w:p>
        </w:tc>
      </w:tr>
      <w:tr w:rsidR="00884F64" w:rsidTr="008022C0">
        <w:tc>
          <w:tcPr>
            <w:tcW w:w="3402" w:type="dxa"/>
          </w:tcPr>
          <w:p w:rsidR="00884F64" w:rsidRDefault="00884F64" w:rsidP="008022C0">
            <w:pPr>
              <w:pStyle w:val="Bezodstpw"/>
              <w:jc w:val="center"/>
            </w:pPr>
            <w:r>
              <w:t>WIG 20</w:t>
            </w:r>
          </w:p>
        </w:tc>
        <w:tc>
          <w:tcPr>
            <w:tcW w:w="2302" w:type="dxa"/>
          </w:tcPr>
          <w:p w:rsidR="00884F64" w:rsidRDefault="00884F64" w:rsidP="008022C0">
            <w:pPr>
              <w:pStyle w:val="Bezodstpw"/>
              <w:jc w:val="center"/>
            </w:pPr>
            <w:r>
              <w:t xml:space="preserve">2 489,77 pkt. </w:t>
            </w:r>
          </w:p>
        </w:tc>
        <w:tc>
          <w:tcPr>
            <w:tcW w:w="2303" w:type="dxa"/>
          </w:tcPr>
          <w:p w:rsidR="00884F64" w:rsidRDefault="00884F64" w:rsidP="008022C0">
            <w:pPr>
              <w:pStyle w:val="Bezodstpw"/>
              <w:jc w:val="center"/>
            </w:pPr>
            <w:r>
              <w:t>2 444,06 pkt.</w:t>
            </w:r>
          </w:p>
        </w:tc>
        <w:tc>
          <w:tcPr>
            <w:tcW w:w="1134" w:type="dxa"/>
          </w:tcPr>
          <w:p w:rsidR="00884F64" w:rsidRDefault="00884F64" w:rsidP="008022C0">
            <w:pPr>
              <w:pStyle w:val="Bezodstpw"/>
              <w:jc w:val="center"/>
            </w:pPr>
            <w:r>
              <w:t>-1,8 %</w:t>
            </w:r>
          </w:p>
        </w:tc>
      </w:tr>
    </w:tbl>
    <w:p w:rsidR="00884F64" w:rsidRDefault="00884F64" w:rsidP="00884F64">
      <w:pPr>
        <w:pStyle w:val="Bezodstpw"/>
        <w:jc w:val="both"/>
      </w:pPr>
    </w:p>
    <w:p w:rsidR="00884F64" w:rsidRDefault="00884F64" w:rsidP="00884F64">
      <w:pPr>
        <w:pStyle w:val="Bezodstpw"/>
        <w:jc w:val="both"/>
      </w:pPr>
      <w:r>
        <w:t xml:space="preserve">Tabela: Procentowa zmiana cen akcji trzech spółek, których akcje zostały wymienione w czwartym numerze ,,Raportu Tygodniowego” z 8 września 2014 roku w rubryce ,,Wykres do przemyślenia” w okresie od 26 września do 3 października 2014 roku oraz procentowa zmiana indeksu WIG 20 w tym okresie. </w:t>
      </w:r>
    </w:p>
    <w:tbl>
      <w:tblPr>
        <w:tblStyle w:val="Tabela-Siatka"/>
        <w:tblW w:w="0" w:type="auto"/>
        <w:tblLook w:val="04A0"/>
      </w:tblPr>
      <w:tblGrid>
        <w:gridCol w:w="3402"/>
        <w:gridCol w:w="2302"/>
        <w:gridCol w:w="2303"/>
        <w:gridCol w:w="1134"/>
      </w:tblGrid>
      <w:tr w:rsidR="00884F64" w:rsidTr="008022C0">
        <w:tc>
          <w:tcPr>
            <w:tcW w:w="3402" w:type="dxa"/>
          </w:tcPr>
          <w:p w:rsidR="00884F64" w:rsidRDefault="00884F64" w:rsidP="008022C0">
            <w:pPr>
              <w:pStyle w:val="Bezodstpw"/>
              <w:jc w:val="center"/>
            </w:pPr>
            <w:r>
              <w:t>Instrument finansowy</w:t>
            </w:r>
          </w:p>
        </w:tc>
        <w:tc>
          <w:tcPr>
            <w:tcW w:w="2302" w:type="dxa"/>
          </w:tcPr>
          <w:p w:rsidR="00884F64" w:rsidRDefault="00884F64" w:rsidP="008022C0">
            <w:pPr>
              <w:pStyle w:val="Bezodstpw"/>
              <w:jc w:val="center"/>
            </w:pPr>
            <w:r>
              <w:t>Poziom – 05.09.2014</w:t>
            </w:r>
          </w:p>
        </w:tc>
        <w:tc>
          <w:tcPr>
            <w:tcW w:w="2303" w:type="dxa"/>
          </w:tcPr>
          <w:p w:rsidR="00884F64" w:rsidRDefault="00884F64" w:rsidP="008022C0">
            <w:pPr>
              <w:pStyle w:val="Bezodstpw"/>
              <w:jc w:val="center"/>
            </w:pPr>
            <w:r>
              <w:t>Poziom – 03.10.2014</w:t>
            </w:r>
          </w:p>
        </w:tc>
        <w:tc>
          <w:tcPr>
            <w:tcW w:w="1134" w:type="dxa"/>
          </w:tcPr>
          <w:p w:rsidR="00884F64" w:rsidRDefault="00884F64" w:rsidP="008022C0">
            <w:pPr>
              <w:pStyle w:val="Bezodstpw"/>
              <w:jc w:val="center"/>
            </w:pPr>
            <w:r>
              <w:t>Zmiana (w %)</w:t>
            </w:r>
          </w:p>
        </w:tc>
      </w:tr>
      <w:tr w:rsidR="00884F64" w:rsidTr="008022C0">
        <w:tc>
          <w:tcPr>
            <w:tcW w:w="3402" w:type="dxa"/>
          </w:tcPr>
          <w:p w:rsidR="00884F64" w:rsidRDefault="00884F64" w:rsidP="008022C0">
            <w:pPr>
              <w:pStyle w:val="Bezodstpw"/>
              <w:jc w:val="center"/>
            </w:pPr>
            <w:r>
              <w:t xml:space="preserve">Akcja spółki </w:t>
            </w:r>
            <w:proofErr w:type="spellStart"/>
            <w:r>
              <w:t>Asseco</w:t>
            </w:r>
            <w:proofErr w:type="spellEnd"/>
            <w:r>
              <w:t xml:space="preserve"> Poland </w:t>
            </w:r>
          </w:p>
        </w:tc>
        <w:tc>
          <w:tcPr>
            <w:tcW w:w="2302" w:type="dxa"/>
          </w:tcPr>
          <w:p w:rsidR="00884F64" w:rsidRDefault="00884F64" w:rsidP="008022C0">
            <w:pPr>
              <w:pStyle w:val="Bezodstpw"/>
              <w:jc w:val="center"/>
            </w:pPr>
            <w:r>
              <w:t xml:space="preserve">45,64 zł. </w:t>
            </w:r>
          </w:p>
        </w:tc>
        <w:tc>
          <w:tcPr>
            <w:tcW w:w="2303" w:type="dxa"/>
          </w:tcPr>
          <w:p w:rsidR="00884F64" w:rsidRDefault="00884F64" w:rsidP="008022C0">
            <w:pPr>
              <w:pStyle w:val="Bezodstpw"/>
              <w:jc w:val="center"/>
            </w:pPr>
            <w:r>
              <w:t xml:space="preserve">46,10 zł. </w:t>
            </w:r>
          </w:p>
        </w:tc>
        <w:tc>
          <w:tcPr>
            <w:tcW w:w="1134" w:type="dxa"/>
          </w:tcPr>
          <w:p w:rsidR="00884F64" w:rsidRDefault="00884F64" w:rsidP="008022C0">
            <w:pPr>
              <w:pStyle w:val="Bezodstpw"/>
              <w:jc w:val="center"/>
            </w:pPr>
            <w:r>
              <w:t>+1,0 %</w:t>
            </w:r>
          </w:p>
        </w:tc>
      </w:tr>
      <w:tr w:rsidR="00884F64" w:rsidTr="008022C0">
        <w:tc>
          <w:tcPr>
            <w:tcW w:w="3402" w:type="dxa"/>
          </w:tcPr>
          <w:p w:rsidR="00884F64" w:rsidRDefault="00884F64" w:rsidP="008022C0">
            <w:pPr>
              <w:pStyle w:val="Bezodstpw"/>
              <w:jc w:val="center"/>
            </w:pPr>
            <w:r>
              <w:t>Akcja spółki  CD Projekt</w:t>
            </w:r>
          </w:p>
        </w:tc>
        <w:tc>
          <w:tcPr>
            <w:tcW w:w="2302" w:type="dxa"/>
          </w:tcPr>
          <w:p w:rsidR="00884F64" w:rsidRDefault="00884F64" w:rsidP="008022C0">
            <w:pPr>
              <w:pStyle w:val="Bezodstpw"/>
              <w:jc w:val="center"/>
            </w:pPr>
            <w:r>
              <w:t xml:space="preserve">16,59 zł. </w:t>
            </w:r>
          </w:p>
        </w:tc>
        <w:tc>
          <w:tcPr>
            <w:tcW w:w="2303" w:type="dxa"/>
          </w:tcPr>
          <w:p w:rsidR="00884F64" w:rsidRDefault="00884F64" w:rsidP="008022C0">
            <w:pPr>
              <w:pStyle w:val="Bezodstpw"/>
              <w:jc w:val="center"/>
            </w:pPr>
            <w:r>
              <w:t xml:space="preserve">16,70 zł. </w:t>
            </w:r>
          </w:p>
        </w:tc>
        <w:tc>
          <w:tcPr>
            <w:tcW w:w="1134" w:type="dxa"/>
          </w:tcPr>
          <w:p w:rsidR="00884F64" w:rsidRDefault="00884F64" w:rsidP="008022C0">
            <w:pPr>
              <w:pStyle w:val="Bezodstpw"/>
              <w:jc w:val="center"/>
            </w:pPr>
            <w:r>
              <w:t>+0,7 %</w:t>
            </w:r>
          </w:p>
        </w:tc>
      </w:tr>
      <w:tr w:rsidR="00884F64" w:rsidTr="008022C0">
        <w:tc>
          <w:tcPr>
            <w:tcW w:w="3402" w:type="dxa"/>
          </w:tcPr>
          <w:p w:rsidR="00884F64" w:rsidRDefault="00884F64" w:rsidP="008022C0">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884F64" w:rsidRDefault="00884F64" w:rsidP="008022C0">
            <w:pPr>
              <w:pStyle w:val="Bezodstpw"/>
              <w:jc w:val="center"/>
            </w:pPr>
            <w:r>
              <w:t>17,60 zł.</w:t>
            </w:r>
          </w:p>
        </w:tc>
        <w:tc>
          <w:tcPr>
            <w:tcW w:w="2303" w:type="dxa"/>
            <w:tcBorders>
              <w:bottom w:val="single" w:sz="4" w:space="0" w:color="auto"/>
            </w:tcBorders>
          </w:tcPr>
          <w:p w:rsidR="00884F64" w:rsidRDefault="00884F64" w:rsidP="008022C0">
            <w:pPr>
              <w:pStyle w:val="Bezodstpw"/>
              <w:jc w:val="center"/>
            </w:pPr>
            <w:r>
              <w:t xml:space="preserve">17,59 zł. </w:t>
            </w:r>
          </w:p>
        </w:tc>
        <w:tc>
          <w:tcPr>
            <w:tcW w:w="1134" w:type="dxa"/>
          </w:tcPr>
          <w:p w:rsidR="00884F64" w:rsidRDefault="00884F64" w:rsidP="008022C0">
            <w:pPr>
              <w:pStyle w:val="Bezodstpw"/>
              <w:jc w:val="center"/>
            </w:pPr>
            <w:r>
              <w:t>+0,0 %</w:t>
            </w:r>
          </w:p>
        </w:tc>
      </w:tr>
      <w:tr w:rsidR="00884F64" w:rsidTr="008022C0">
        <w:tc>
          <w:tcPr>
            <w:tcW w:w="3402" w:type="dxa"/>
          </w:tcPr>
          <w:p w:rsidR="00884F64" w:rsidRPr="008F668F" w:rsidRDefault="00884F64" w:rsidP="008022C0">
            <w:pPr>
              <w:pStyle w:val="Bezodstpw"/>
              <w:jc w:val="center"/>
              <w:rPr>
                <w:b/>
                <w:color w:val="FF0000"/>
              </w:rPr>
            </w:pPr>
            <w:r w:rsidRPr="008F668F">
              <w:rPr>
                <w:b/>
                <w:color w:val="FF0000"/>
              </w:rPr>
              <w:t>Średnio</w:t>
            </w:r>
          </w:p>
        </w:tc>
        <w:tc>
          <w:tcPr>
            <w:tcW w:w="2302" w:type="dxa"/>
            <w:tcBorders>
              <w:right w:val="nil"/>
            </w:tcBorders>
          </w:tcPr>
          <w:p w:rsidR="00884F64" w:rsidRPr="008F668F" w:rsidRDefault="00884F64" w:rsidP="008022C0">
            <w:pPr>
              <w:pStyle w:val="Bezodstpw"/>
              <w:jc w:val="center"/>
              <w:rPr>
                <w:b/>
                <w:color w:val="FF0000"/>
              </w:rPr>
            </w:pPr>
          </w:p>
        </w:tc>
        <w:tc>
          <w:tcPr>
            <w:tcW w:w="2303" w:type="dxa"/>
            <w:tcBorders>
              <w:left w:val="nil"/>
            </w:tcBorders>
          </w:tcPr>
          <w:p w:rsidR="00884F64" w:rsidRPr="008F668F" w:rsidRDefault="00884F64" w:rsidP="008022C0">
            <w:pPr>
              <w:pStyle w:val="Bezodstpw"/>
              <w:jc w:val="center"/>
              <w:rPr>
                <w:b/>
                <w:color w:val="FF0000"/>
              </w:rPr>
            </w:pPr>
          </w:p>
        </w:tc>
        <w:tc>
          <w:tcPr>
            <w:tcW w:w="1134" w:type="dxa"/>
          </w:tcPr>
          <w:p w:rsidR="00884F64" w:rsidRPr="008F668F" w:rsidRDefault="00884F64" w:rsidP="008022C0">
            <w:pPr>
              <w:pStyle w:val="Bezodstpw"/>
              <w:jc w:val="center"/>
              <w:rPr>
                <w:b/>
                <w:color w:val="FF0000"/>
              </w:rPr>
            </w:pPr>
            <w:r>
              <w:rPr>
                <w:b/>
                <w:color w:val="FF0000"/>
              </w:rPr>
              <w:t>+0,5 %</w:t>
            </w:r>
          </w:p>
        </w:tc>
      </w:tr>
      <w:tr w:rsidR="00884F64" w:rsidTr="008022C0">
        <w:tc>
          <w:tcPr>
            <w:tcW w:w="3402" w:type="dxa"/>
          </w:tcPr>
          <w:p w:rsidR="00884F64" w:rsidRDefault="00884F64" w:rsidP="008022C0">
            <w:pPr>
              <w:pStyle w:val="Bezodstpw"/>
              <w:jc w:val="center"/>
            </w:pPr>
            <w:r>
              <w:t>WIG 20</w:t>
            </w:r>
          </w:p>
        </w:tc>
        <w:tc>
          <w:tcPr>
            <w:tcW w:w="2302" w:type="dxa"/>
          </w:tcPr>
          <w:p w:rsidR="00884F64" w:rsidRDefault="00884F64" w:rsidP="008022C0">
            <w:pPr>
              <w:pStyle w:val="Bezodstpw"/>
              <w:jc w:val="center"/>
            </w:pPr>
            <w:r>
              <w:t xml:space="preserve">2 541,42 pkt. </w:t>
            </w:r>
          </w:p>
        </w:tc>
        <w:tc>
          <w:tcPr>
            <w:tcW w:w="2303" w:type="dxa"/>
          </w:tcPr>
          <w:p w:rsidR="00884F64" w:rsidRDefault="00884F64" w:rsidP="008022C0">
            <w:pPr>
              <w:pStyle w:val="Bezodstpw"/>
              <w:jc w:val="center"/>
            </w:pPr>
            <w:r>
              <w:t>2 444,06 pkt.</w:t>
            </w:r>
          </w:p>
        </w:tc>
        <w:tc>
          <w:tcPr>
            <w:tcW w:w="1134" w:type="dxa"/>
          </w:tcPr>
          <w:p w:rsidR="00884F64" w:rsidRDefault="00884F64" w:rsidP="008022C0">
            <w:pPr>
              <w:pStyle w:val="Bezodstpw"/>
              <w:jc w:val="center"/>
            </w:pPr>
            <w:r>
              <w:t>-3,8 %</w:t>
            </w:r>
          </w:p>
        </w:tc>
      </w:tr>
    </w:tbl>
    <w:p w:rsidR="00884F64" w:rsidRDefault="00884F64" w:rsidP="00884F64">
      <w:pPr>
        <w:pStyle w:val="Bezodstpw"/>
        <w:jc w:val="both"/>
      </w:pPr>
    </w:p>
    <w:p w:rsidR="00884F64" w:rsidRDefault="00884F64" w:rsidP="00884F64">
      <w:pPr>
        <w:pStyle w:val="Bezodstpw"/>
        <w:jc w:val="both"/>
      </w:pPr>
      <w:r>
        <w:t xml:space="preserve">Warto zauważyć, że spośród 11 spółek, których akcje zakwalifikowane zostały do rubryki ,,Wykres do przemyślenia” (gdyż wybiły się już z formacji podwójnego dna) kursy </w:t>
      </w:r>
      <w:r w:rsidR="00AF5A08">
        <w:t xml:space="preserve">akcji </w:t>
      </w:r>
      <w:r>
        <w:t xml:space="preserve">9 spółek od momentu </w:t>
      </w:r>
      <w:r>
        <w:lastRenderedPageBreak/>
        <w:t xml:space="preserve">owego zakwalifikowania do tej rubryki </w:t>
      </w:r>
      <w:r w:rsidR="00AF5A08">
        <w:t xml:space="preserve">do dnia 3 października 2014 roku </w:t>
      </w:r>
      <w:r>
        <w:t xml:space="preserve">zachowywały się lepiej od indeksu WIG20, a 2 gorzej. </w:t>
      </w:r>
    </w:p>
    <w:p w:rsidR="002D2D4D" w:rsidRDefault="002D2D4D" w:rsidP="00884F64">
      <w:pPr>
        <w:pStyle w:val="Bezodstpw"/>
        <w:jc w:val="both"/>
      </w:pPr>
    </w:p>
    <w:p w:rsidR="00884F64" w:rsidRDefault="00884F64" w:rsidP="00884F64">
      <w:pPr>
        <w:pStyle w:val="Bezodstpw"/>
        <w:pBdr>
          <w:top w:val="single" w:sz="4" w:space="1" w:color="auto"/>
          <w:left w:val="single" w:sz="4" w:space="4" w:color="auto"/>
          <w:bottom w:val="single" w:sz="4" w:space="1" w:color="auto"/>
          <w:right w:val="single" w:sz="4" w:space="4" w:color="auto"/>
        </w:pBdr>
        <w:jc w:val="center"/>
      </w:pPr>
      <w:r>
        <w:t>,,Wykres do przemyślenia”</w:t>
      </w:r>
    </w:p>
    <w:p w:rsidR="00884F64" w:rsidRDefault="00884F64" w:rsidP="00884F64">
      <w:pPr>
        <w:pStyle w:val="Bezodstpw"/>
        <w:jc w:val="both"/>
      </w:pPr>
    </w:p>
    <w:p w:rsidR="00AB19AB" w:rsidRDefault="00884F64" w:rsidP="00884F64">
      <w:pPr>
        <w:pStyle w:val="Bezodstpw"/>
        <w:jc w:val="both"/>
      </w:pPr>
      <w:r>
        <w:t>Dziś w rubryce ,,Wykres do przemyślenia” zamieściłem akcje spółki Stalprodukt, które wybiły się z formacji podwójnego dna tworzonej przez kilkanaście miesięcy od maja 2012</w:t>
      </w:r>
      <w:r w:rsidR="00646F30">
        <w:t xml:space="preserve"> </w:t>
      </w:r>
      <w:r w:rsidR="007421A2">
        <w:t>roku do października 2013 roku a obecnie zdają się być bliskie zakończenia korekty spadkowej. Oznaczona na wykresie f</w:t>
      </w:r>
      <w:r w:rsidR="00646F30">
        <w:t xml:space="preserve">ormacja </w:t>
      </w:r>
      <w:r w:rsidR="007421A2">
        <w:t xml:space="preserve">podwójnego dna </w:t>
      </w:r>
      <w:r w:rsidR="00646F30">
        <w:t xml:space="preserve">ma więc charakter średnioterminowy. </w:t>
      </w:r>
      <w:r w:rsidR="00AB19AB">
        <w:t>Jeżeli ta formacja miała by się wypełnić kurs Stalproduktu powinien wzrosnąć do 317,30 zł., czyli o 30,0 %.</w:t>
      </w:r>
    </w:p>
    <w:p w:rsidR="00AB19AB" w:rsidRDefault="00AB19AB" w:rsidP="00884F64">
      <w:pPr>
        <w:pStyle w:val="Bezodstpw"/>
        <w:jc w:val="both"/>
      </w:pPr>
    </w:p>
    <w:p w:rsidR="00884F64" w:rsidRDefault="00646F30" w:rsidP="00884F64">
      <w:pPr>
        <w:pStyle w:val="Bezodstpw"/>
        <w:jc w:val="both"/>
      </w:pPr>
      <w:r>
        <w:t xml:space="preserve">Spółka Stalprodukt wchodzi w skład indeksu WIG 250. </w:t>
      </w:r>
    </w:p>
    <w:p w:rsidR="00884F64" w:rsidRDefault="00884F64" w:rsidP="00884F64">
      <w:pPr>
        <w:pStyle w:val="Bezodstpw"/>
        <w:jc w:val="both"/>
      </w:pPr>
    </w:p>
    <w:p w:rsidR="00884F64" w:rsidRPr="00FB1F77" w:rsidRDefault="00884F64" w:rsidP="00884F64">
      <w:pPr>
        <w:pStyle w:val="Bezodstpw"/>
        <w:jc w:val="both"/>
        <w:rPr>
          <w:b/>
          <w:u w:val="single"/>
        </w:rPr>
      </w:pPr>
      <w:r w:rsidRPr="00FB1F77">
        <w:rPr>
          <w:b/>
          <w:u w:val="single"/>
        </w:rPr>
        <w:t xml:space="preserve">STALPRODUKT </w:t>
      </w:r>
    </w:p>
    <w:p w:rsidR="00884F64" w:rsidRDefault="00884F64" w:rsidP="00884F64">
      <w:pPr>
        <w:pStyle w:val="Bezodstpw"/>
        <w:jc w:val="both"/>
      </w:pPr>
    </w:p>
    <w:p w:rsidR="00884F64" w:rsidRDefault="00884F64" w:rsidP="00884F64">
      <w:pPr>
        <w:pStyle w:val="Bezodstpw"/>
        <w:jc w:val="both"/>
      </w:pPr>
      <w:r>
        <w:rPr>
          <w:noProof/>
        </w:rPr>
        <w:drawing>
          <wp:inline distT="0" distB="0" distL="0" distR="0">
            <wp:extent cx="5950370" cy="3600000"/>
            <wp:effectExtent l="19050" t="0" r="0" b="0"/>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950370" cy="3600000"/>
                    </a:xfrm>
                    <a:prstGeom prst="rect">
                      <a:avLst/>
                    </a:prstGeom>
                    <a:noFill/>
                  </pic:spPr>
                </pic:pic>
              </a:graphicData>
            </a:graphic>
          </wp:inline>
        </w:drawing>
      </w:r>
    </w:p>
    <w:p w:rsidR="00884F64" w:rsidRDefault="00884F64" w:rsidP="00884F64">
      <w:pPr>
        <w:pStyle w:val="Bezodstpw"/>
        <w:jc w:val="both"/>
      </w:pPr>
    </w:p>
    <w:p w:rsidR="002D2D4D" w:rsidRDefault="002D2D4D" w:rsidP="00AF5A08">
      <w:pPr>
        <w:pStyle w:val="Bezodstpw"/>
        <w:jc w:val="both"/>
        <w:rPr>
          <w:b/>
        </w:rPr>
      </w:pPr>
    </w:p>
    <w:p w:rsidR="002D2D4D" w:rsidRPr="002D2D4D" w:rsidRDefault="002D2D4D" w:rsidP="002D2D4D">
      <w:pPr>
        <w:pStyle w:val="Bezodstpw"/>
        <w:pBdr>
          <w:top w:val="single" w:sz="4" w:space="1" w:color="auto"/>
          <w:left w:val="single" w:sz="4" w:space="4" w:color="auto"/>
          <w:bottom w:val="single" w:sz="4" w:space="1" w:color="auto"/>
          <w:right w:val="single" w:sz="4" w:space="4" w:color="auto"/>
        </w:pBdr>
        <w:jc w:val="center"/>
      </w:pPr>
      <w:r w:rsidRPr="002D2D4D">
        <w:t>Poczekalnia</w:t>
      </w:r>
    </w:p>
    <w:p w:rsidR="002D2D4D" w:rsidRDefault="002D2D4D" w:rsidP="00AF5A08">
      <w:pPr>
        <w:pStyle w:val="Bezodstpw"/>
        <w:jc w:val="both"/>
        <w:rPr>
          <w:b/>
        </w:rPr>
      </w:pPr>
    </w:p>
    <w:p w:rsidR="002D2D4D" w:rsidRDefault="002D2D4D" w:rsidP="002D2D4D">
      <w:pPr>
        <w:pStyle w:val="Bezodstpw"/>
        <w:jc w:val="both"/>
      </w:pPr>
      <w:r>
        <w:t xml:space="preserve">Należy też przypomnieć, że 15 września wprowadzona została rubryka ,,Poczekalnia”, do której kwalifikowane spółki, których akcje nie wybiły się jeszcze z podwójnego dna, ale są tego bliskie. </w:t>
      </w:r>
    </w:p>
    <w:p w:rsidR="002D2D4D" w:rsidRDefault="002D2D4D" w:rsidP="002D2D4D">
      <w:pPr>
        <w:pStyle w:val="Bezodstpw"/>
        <w:jc w:val="both"/>
      </w:pPr>
    </w:p>
    <w:p w:rsidR="002D2D4D" w:rsidRDefault="002D2D4D" w:rsidP="002D2D4D">
      <w:pPr>
        <w:pStyle w:val="Bezodstpw"/>
        <w:jc w:val="both"/>
      </w:pPr>
      <w:r>
        <w:t xml:space="preserve">Dotychczas do tej kategorii kwalifikowane były 3 spółki – Capital Partners, Relpol oraz </w:t>
      </w:r>
      <w:proofErr w:type="spellStart"/>
      <w:r>
        <w:t>Elektrotim</w:t>
      </w:r>
      <w:proofErr w:type="spellEnd"/>
      <w:r>
        <w:t>. Warto zauważyć, że akcje Capital Partners przeszły już do rubryki ,,Wykres do przemyślenia”.</w:t>
      </w:r>
      <w:r w:rsidRPr="002D2D4D">
        <w:rPr>
          <w:b/>
        </w:rPr>
        <w:t xml:space="preserve"> Relpol oraz </w:t>
      </w:r>
      <w:proofErr w:type="spellStart"/>
      <w:r w:rsidRPr="002D2D4D">
        <w:rPr>
          <w:b/>
        </w:rPr>
        <w:t>Elektrotim</w:t>
      </w:r>
      <w:proofErr w:type="spellEnd"/>
      <w:r>
        <w:t xml:space="preserve"> nadal znajdują się w ,,poczekalni”. </w:t>
      </w:r>
    </w:p>
    <w:p w:rsidR="002D2D4D" w:rsidRDefault="002D2D4D" w:rsidP="00AF5A08">
      <w:pPr>
        <w:pStyle w:val="Bezodstpw"/>
        <w:jc w:val="both"/>
        <w:rPr>
          <w:b/>
        </w:rPr>
      </w:pPr>
    </w:p>
    <w:p w:rsidR="00646F30" w:rsidRDefault="00646F30" w:rsidP="00AF5A08">
      <w:pPr>
        <w:pStyle w:val="Bezodstpw"/>
        <w:jc w:val="both"/>
      </w:pPr>
      <w:r w:rsidRPr="00646F30">
        <w:t xml:space="preserve">Nazwa ,,Poczekalnia” wzięła się stąd, że </w:t>
      </w:r>
      <w:r>
        <w:t xml:space="preserve">podobne jak pasażerowie oczekują nas swój pociąg (sprzedaż akcji można w takim kontekście porównać do opuszczenia pociągu) tak też spółki oczekują na to, aby zostać wprowadzone do rubryki ,,Wykres do przemyślenia”. </w:t>
      </w:r>
    </w:p>
    <w:p w:rsidR="00646F30" w:rsidRDefault="00646F30" w:rsidP="00AF5A08">
      <w:pPr>
        <w:pStyle w:val="Bezodstpw"/>
        <w:jc w:val="both"/>
      </w:pPr>
    </w:p>
    <w:p w:rsidR="00646F30" w:rsidRPr="00646F30" w:rsidRDefault="00646F30" w:rsidP="00AF5A08">
      <w:pPr>
        <w:pStyle w:val="Bezodstpw"/>
        <w:jc w:val="both"/>
      </w:pPr>
    </w:p>
    <w:p w:rsidR="00AF5A08" w:rsidRDefault="00AF5A08" w:rsidP="00AF5A08">
      <w:pPr>
        <w:pStyle w:val="Bezodstpw"/>
        <w:jc w:val="both"/>
        <w:rPr>
          <w:b/>
        </w:rPr>
      </w:pPr>
      <w:r w:rsidRPr="00684436">
        <w:rPr>
          <w:b/>
        </w:rPr>
        <w:t xml:space="preserve">Wnioski końcowe </w:t>
      </w:r>
    </w:p>
    <w:p w:rsidR="00AF5A08" w:rsidRDefault="00AF5A08" w:rsidP="00AF5A08">
      <w:pPr>
        <w:pStyle w:val="Bezodstpw"/>
        <w:jc w:val="both"/>
        <w:rPr>
          <w:b/>
        </w:rPr>
      </w:pPr>
    </w:p>
    <w:p w:rsidR="00AF5A08" w:rsidRPr="00E62A90" w:rsidRDefault="00AF5A08" w:rsidP="00AF5A08">
      <w:pPr>
        <w:pStyle w:val="Bezodstpw"/>
        <w:numPr>
          <w:ilvl w:val="0"/>
          <w:numId w:val="1"/>
        </w:numPr>
        <w:jc w:val="both"/>
      </w:pPr>
      <w:r w:rsidRPr="00BE556A">
        <w:rPr>
          <w:b/>
        </w:rPr>
        <w:t>Kurs dolara (w złotych)</w:t>
      </w:r>
      <w:r w:rsidRPr="00ED5598">
        <w:t xml:space="preserve"> powinien w tym roku zmierzać </w:t>
      </w:r>
      <w:r w:rsidRPr="00BE556A">
        <w:rPr>
          <w:b/>
        </w:rPr>
        <w:t>w kierunku długoterminowej spadkowej linii trendu</w:t>
      </w:r>
      <w:r w:rsidRPr="00ED5598">
        <w:t xml:space="preserve"> poprowadzonej przez szczyty z lutego 2009 roku oraz czerwca 2012 roku. Linia ta stanowi bardzo ważny opór. W chwili obecnej przebiega ona na poziomie </w:t>
      </w:r>
      <w:r w:rsidRPr="00BE556A">
        <w:rPr>
          <w:b/>
          <w:color w:val="FF0000"/>
        </w:rPr>
        <w:t>3,4</w:t>
      </w:r>
      <w:r>
        <w:rPr>
          <w:b/>
          <w:color w:val="FF0000"/>
        </w:rPr>
        <w:t>10</w:t>
      </w:r>
      <w:r w:rsidRPr="00BE556A">
        <w:rPr>
          <w:b/>
          <w:color w:val="FF0000"/>
        </w:rPr>
        <w:t>.</w:t>
      </w:r>
      <w:r w:rsidRPr="00ED5598">
        <w:t xml:space="preserve"> Z kolei </w:t>
      </w:r>
      <w:r w:rsidRPr="00BE556A">
        <w:rPr>
          <w:b/>
        </w:rPr>
        <w:t>kurs euro (w złotych)</w:t>
      </w:r>
      <w:r w:rsidRPr="00ED5598">
        <w:t xml:space="preserve"> znajduje się </w:t>
      </w:r>
      <w:r w:rsidRPr="00BE556A">
        <w:rPr>
          <w:b/>
        </w:rPr>
        <w:t xml:space="preserve">poniżej długoterminowej spadkowej linii trendu </w:t>
      </w:r>
      <w:r w:rsidRPr="00ED5598">
        <w:t xml:space="preserve">poprowadzonej przez szczyty z lutego 2009 roku oraz grudnia 2011 roku. Linia ta stanowi bardzo ważny opór. W chwili obecnej przebiega ona na poziomie </w:t>
      </w:r>
      <w:r w:rsidRPr="00BE556A">
        <w:rPr>
          <w:b/>
          <w:color w:val="FF0000"/>
        </w:rPr>
        <w:t>4,27</w:t>
      </w:r>
      <w:r>
        <w:rPr>
          <w:b/>
          <w:color w:val="FF0000"/>
        </w:rPr>
        <w:t>0</w:t>
      </w:r>
      <w:r w:rsidRPr="00ED5598">
        <w:t xml:space="preserve">.  </w:t>
      </w:r>
      <w:r w:rsidR="00E62A90">
        <w:t>Na możliwość pojawienia się w tym roku kolejnej fali umocnienia walut zagranicznych (w z</w:t>
      </w:r>
      <w:r>
        <w:t>łotych</w:t>
      </w:r>
      <w:r w:rsidR="00E62A90">
        <w:t>)</w:t>
      </w:r>
      <w:r>
        <w:t xml:space="preserve"> wskazuje także niewypełniona formacja podwójnego dna na wykresie indeksu walutowego </w:t>
      </w:r>
      <w:r w:rsidRPr="00E62A90">
        <w:rPr>
          <w:b/>
        </w:rPr>
        <w:t>Polish Basket Zloty</w:t>
      </w:r>
      <w:r w:rsidR="00E62A90" w:rsidRPr="00E62A90">
        <w:t xml:space="preserve">, który ma szansę zyskać na wartości jeszcze </w:t>
      </w:r>
      <w:r w:rsidR="00E62A90" w:rsidRPr="00E62A90">
        <w:rPr>
          <w:b/>
          <w:color w:val="FF0000"/>
        </w:rPr>
        <w:t>2,</w:t>
      </w:r>
      <w:r w:rsidR="00A23A40">
        <w:rPr>
          <w:b/>
          <w:color w:val="FF0000"/>
        </w:rPr>
        <w:t>5</w:t>
      </w:r>
      <w:r w:rsidR="00E62A90" w:rsidRPr="00E62A90">
        <w:rPr>
          <w:b/>
          <w:color w:val="FF0000"/>
        </w:rPr>
        <w:t xml:space="preserve"> %.</w:t>
      </w:r>
    </w:p>
    <w:p w:rsidR="00AF5A08" w:rsidRDefault="00AF5A08" w:rsidP="00AF5A08">
      <w:pPr>
        <w:pStyle w:val="Bezodstpw"/>
        <w:ind w:left="720"/>
        <w:jc w:val="both"/>
      </w:pPr>
    </w:p>
    <w:p w:rsidR="00AF5A08" w:rsidRDefault="00AF5A08" w:rsidP="00AF5A08">
      <w:pPr>
        <w:pStyle w:val="Bezodstpw"/>
        <w:numPr>
          <w:ilvl w:val="0"/>
          <w:numId w:val="1"/>
        </w:numPr>
        <w:jc w:val="both"/>
      </w:pPr>
      <w:r w:rsidRPr="00ED5598">
        <w:t xml:space="preserve">Analizując wykres indeksu </w:t>
      </w:r>
      <w:r w:rsidRPr="00AF5A08">
        <w:rPr>
          <w:b/>
        </w:rPr>
        <w:t>WIG 20</w:t>
      </w:r>
      <w:r w:rsidRPr="00ED5598">
        <w:t xml:space="preserve"> w horyzoncie długoterminowym można dostrzec trwający kilkanaście miesięcy okres </w:t>
      </w:r>
      <w:r w:rsidRPr="00AF5A08">
        <w:rPr>
          <w:b/>
        </w:rPr>
        <w:t>konsolidacj</w:t>
      </w:r>
      <w:r w:rsidRPr="00ED5598">
        <w:t xml:space="preserve">i. Sądzę, że jesteśmy przed bardzo silnym wybiciem z konsolidacji. Uważam, że szereg argumentów przemawia za tym, że będzie to </w:t>
      </w:r>
      <w:r w:rsidRPr="00AF5A08">
        <w:rPr>
          <w:b/>
        </w:rPr>
        <w:t>silne wybicie w górę</w:t>
      </w:r>
      <w:r w:rsidRPr="00ED5598">
        <w:t xml:space="preserve">. </w:t>
      </w:r>
      <w:r>
        <w:t xml:space="preserve"> Zbliża się </w:t>
      </w:r>
      <w:r w:rsidRPr="001D0E6E">
        <w:rPr>
          <w:b/>
        </w:rPr>
        <w:t>bardzo korzystna</w:t>
      </w:r>
      <w:r>
        <w:t xml:space="preserve"> dla posiadaczy polskich akcji </w:t>
      </w:r>
      <w:r w:rsidRPr="001D0E6E">
        <w:rPr>
          <w:b/>
        </w:rPr>
        <w:t>faza amerykańskiego cyklu prezydenckiego</w:t>
      </w:r>
      <w:r>
        <w:t xml:space="preserve">. Z moich badań wynika, że w okresie pomiędzy końcem października drugiego roku po wyborach dotychczasowego prezydenta USA </w:t>
      </w:r>
      <w:r w:rsidR="001D0E6E">
        <w:t xml:space="preserve">(czyli np. 2014 roku) </w:t>
      </w:r>
      <w:r>
        <w:t xml:space="preserve">a końcem kwietnia roku następującego bezpośrednio przez kolejnymi takimi wyborami </w:t>
      </w:r>
      <w:r w:rsidR="00003177">
        <w:t xml:space="preserve">(czyli na np. 2015) </w:t>
      </w:r>
      <w:r>
        <w:t xml:space="preserve">WIG 20 średnio rzecz biorąc zyskiwał na wartości </w:t>
      </w:r>
      <w:r w:rsidRPr="001D0E6E">
        <w:rPr>
          <w:b/>
          <w:color w:val="FF0000"/>
        </w:rPr>
        <w:t>10</w:t>
      </w:r>
      <w:r w:rsidR="00574391">
        <w:rPr>
          <w:b/>
          <w:color w:val="FF0000"/>
        </w:rPr>
        <w:t>,4</w:t>
      </w:r>
      <w:r w:rsidRPr="001D0E6E">
        <w:rPr>
          <w:b/>
          <w:color w:val="FF0000"/>
        </w:rPr>
        <w:t xml:space="preserve"> %</w:t>
      </w:r>
      <w:r>
        <w:t xml:space="preserve">, indeks WIG 50 rósł o </w:t>
      </w:r>
      <w:r w:rsidRPr="001D0E6E">
        <w:rPr>
          <w:b/>
          <w:color w:val="FF0000"/>
        </w:rPr>
        <w:t>1</w:t>
      </w:r>
      <w:r w:rsidR="001D0E6E" w:rsidRPr="001D0E6E">
        <w:rPr>
          <w:b/>
          <w:color w:val="FF0000"/>
        </w:rPr>
        <w:t>7</w:t>
      </w:r>
      <w:r w:rsidRPr="001D0E6E">
        <w:rPr>
          <w:b/>
          <w:color w:val="FF0000"/>
        </w:rPr>
        <w:t>,</w:t>
      </w:r>
      <w:r w:rsidR="001D0E6E" w:rsidRPr="001D0E6E">
        <w:rPr>
          <w:b/>
          <w:color w:val="FF0000"/>
        </w:rPr>
        <w:t>7</w:t>
      </w:r>
      <w:r>
        <w:t xml:space="preserve"> % a WIG 250 zwiększał swą wartość o</w:t>
      </w:r>
      <w:r w:rsidR="001D0E6E">
        <w:t xml:space="preserve"> </w:t>
      </w:r>
      <w:r w:rsidR="001D0E6E" w:rsidRPr="001D0E6E">
        <w:rPr>
          <w:b/>
          <w:color w:val="FF0000"/>
        </w:rPr>
        <w:t>28,1 %.</w:t>
      </w:r>
      <w:r w:rsidR="001D0E6E">
        <w:t xml:space="preserve"> </w:t>
      </w:r>
      <w:r>
        <w:t xml:space="preserve"> </w:t>
      </w:r>
    </w:p>
    <w:p w:rsidR="00AF5A08" w:rsidRPr="00BB7939" w:rsidRDefault="00AF5A08" w:rsidP="00AF5A08">
      <w:pPr>
        <w:pStyle w:val="Bezodstpw"/>
        <w:jc w:val="both"/>
      </w:pPr>
    </w:p>
    <w:p w:rsidR="00BB4F68" w:rsidRPr="00BB4F68" w:rsidRDefault="00AF5A08" w:rsidP="00BB4F68">
      <w:pPr>
        <w:pStyle w:val="Bezodstpw"/>
        <w:numPr>
          <w:ilvl w:val="0"/>
          <w:numId w:val="1"/>
        </w:numPr>
        <w:jc w:val="both"/>
      </w:pPr>
      <w:r w:rsidRPr="00ED5598">
        <w:t xml:space="preserve">Pojawienie się </w:t>
      </w:r>
      <w:r w:rsidRPr="003A0C4E">
        <w:rPr>
          <w:b/>
          <w:u w:val="single"/>
        </w:rPr>
        <w:t xml:space="preserve">formacji </w:t>
      </w:r>
      <w:r w:rsidR="001D0E6E" w:rsidRPr="003A0C4E">
        <w:rPr>
          <w:b/>
          <w:u w:val="single"/>
        </w:rPr>
        <w:t>przenikania h</w:t>
      </w:r>
      <w:r w:rsidRPr="003A0C4E">
        <w:rPr>
          <w:b/>
          <w:u w:val="single"/>
        </w:rPr>
        <w:t>ossy</w:t>
      </w:r>
      <w:r>
        <w:t xml:space="preserve"> </w:t>
      </w:r>
      <w:r w:rsidRPr="00ED5598">
        <w:t xml:space="preserve">na wykresie siły względnej WIG250/WIG20 na wykresie świecowym tworzonym w oparciu o dane miesięczne </w:t>
      </w:r>
      <w:r w:rsidR="003A0C4E">
        <w:t xml:space="preserve">po uprzednim wejściu oscylatora stochastycznego do strefy wyprzedania </w:t>
      </w:r>
      <w:r w:rsidRPr="00ED5598">
        <w:t xml:space="preserve">stwarza szansę na to, że </w:t>
      </w:r>
      <w:r w:rsidRPr="001D0E6E">
        <w:rPr>
          <w:b/>
        </w:rPr>
        <w:t xml:space="preserve">relatywna </w:t>
      </w:r>
      <w:r w:rsidR="001D0E6E" w:rsidRPr="001D0E6E">
        <w:rPr>
          <w:b/>
        </w:rPr>
        <w:t xml:space="preserve">średnioterminowa </w:t>
      </w:r>
      <w:r w:rsidRPr="001D0E6E">
        <w:rPr>
          <w:b/>
        </w:rPr>
        <w:t>sła</w:t>
      </w:r>
      <w:r w:rsidR="001D0E6E" w:rsidRPr="001D0E6E">
        <w:rPr>
          <w:b/>
        </w:rPr>
        <w:t>bość akcji małych spółek kończy</w:t>
      </w:r>
      <w:r w:rsidR="001D0E6E">
        <w:t xml:space="preserve">. Wydźwięk formacji przenikania hossy oraz objęcia hossy jest bardzo podobny. W dotychczasowej historii GPW w Warszawie 6 razy mieliśmy do czynienia z przypadkami, w których </w:t>
      </w:r>
      <w:r w:rsidR="001D0E6E" w:rsidRPr="001D0E6E">
        <w:rPr>
          <w:b/>
        </w:rPr>
        <w:t>po uprzednim wejściu oscylatora stochastycznego do strefy wyprzedania na wykresie WIG 250 / WIG20 tworzonym w oparciu o dane miesięczne) pojawiła się formacja objęcia hossy</w:t>
      </w:r>
      <w:r w:rsidR="001D0E6E">
        <w:t xml:space="preserve"> </w:t>
      </w:r>
      <w:r w:rsidR="001D0E6E" w:rsidRPr="001D0E6E">
        <w:rPr>
          <w:b/>
        </w:rPr>
        <w:t>(która w swym wydźwięku jest bardzo podobna do formacji przenikania hossy)</w:t>
      </w:r>
      <w:r w:rsidR="001D0E6E">
        <w:t xml:space="preserve">. Po pojawieniu się w przeszłości tego typu układu technicznego (pojawieniu się formacji objęcia hossy po uprzednim wejściu oscylatora stochastycznego do strefy wyprzedania) zawsze było tak, że w okresie kolejnych 12 miesięcy rósł zarówno indeks małych spółek jak również indeks dużych spółek, przy czym średnio rzecz biorąc </w:t>
      </w:r>
      <w:r w:rsidR="001D0E6E" w:rsidRPr="001D0E6E">
        <w:rPr>
          <w:b/>
        </w:rPr>
        <w:t>indeks małych spółek rósł mocniej</w:t>
      </w:r>
      <w:r w:rsidR="00BB4F68">
        <w:rPr>
          <w:b/>
        </w:rPr>
        <w:t xml:space="preserve">. </w:t>
      </w:r>
      <w:r w:rsidR="00BB4F68" w:rsidRPr="00BB4F68">
        <w:t xml:space="preserve">Także </w:t>
      </w:r>
      <w:r w:rsidR="00BB4F68">
        <w:rPr>
          <w:b/>
        </w:rPr>
        <w:t>p</w:t>
      </w:r>
      <w:r w:rsidR="00BB4F68" w:rsidRPr="00BB4F68">
        <w:t xml:space="preserve">erspektywa </w:t>
      </w:r>
      <w:r w:rsidR="00BB4F68" w:rsidRPr="00BB4F68">
        <w:rPr>
          <w:b/>
        </w:rPr>
        <w:t>obniżania stop procentowych przez RPP</w:t>
      </w:r>
      <w:r w:rsidR="00BB4F68" w:rsidRPr="00BB4F68">
        <w:t xml:space="preserve"> powinna generalnie rzecz biorąc </w:t>
      </w:r>
      <w:r w:rsidR="00BB4F68" w:rsidRPr="00BB4F68">
        <w:rPr>
          <w:b/>
        </w:rPr>
        <w:t>podwyższyć skłonność do podejmowania ryzyka</w:t>
      </w:r>
      <w:r w:rsidR="00BB4F68" w:rsidRPr="00BB4F68">
        <w:t xml:space="preserve"> zwiększając tym samym skłonność uczestników polskiego rynku akcji do preferowania aktywów bardziej ryzykownych (akcji małych spółek) kosztem aktywów mniej ryzykownych (akcji spółek dużych). </w:t>
      </w:r>
    </w:p>
    <w:p w:rsidR="001D0E6E" w:rsidRDefault="001D0E6E" w:rsidP="001D0E6E">
      <w:pPr>
        <w:pStyle w:val="Bezodstpw"/>
        <w:jc w:val="both"/>
      </w:pPr>
    </w:p>
    <w:p w:rsidR="00AF5A08" w:rsidRDefault="00AF5A08" w:rsidP="00AF5A08">
      <w:pPr>
        <w:pStyle w:val="Bezodstpw"/>
        <w:jc w:val="both"/>
      </w:pPr>
      <w:r>
        <w:t xml:space="preserve">Opracował: </w:t>
      </w:r>
      <w:r w:rsidRPr="00AA453E">
        <w:t>Sławomir Kłusek</w:t>
      </w:r>
      <w:r>
        <w:t xml:space="preserve">, </w:t>
      </w:r>
      <w:r w:rsidR="001D0E6E">
        <w:t>6 października</w:t>
      </w:r>
      <w:r>
        <w:t xml:space="preserve"> 2014 r.</w:t>
      </w:r>
    </w:p>
    <w:p w:rsidR="00AF5A08" w:rsidRDefault="00AF5A08" w:rsidP="00AF5A08">
      <w:pPr>
        <w:pStyle w:val="Bezodstpw"/>
        <w:ind w:left="720"/>
        <w:jc w:val="both"/>
      </w:pPr>
    </w:p>
    <w:p w:rsidR="00AF5A08" w:rsidRDefault="00AF5A08" w:rsidP="00AF5A08">
      <w:pPr>
        <w:pStyle w:val="Bezodstpw"/>
        <w:jc w:val="both"/>
      </w:pPr>
      <w:r>
        <w:t xml:space="preserve">Powyższy raport stanowi wyłącznie wyraz osobistych opinii autora. </w:t>
      </w:r>
    </w:p>
    <w:p w:rsidR="00AF5A08" w:rsidRDefault="00AF5A08" w:rsidP="00AF5A08">
      <w:pPr>
        <w:pStyle w:val="Bezodstpw"/>
        <w:jc w:val="both"/>
      </w:pPr>
    </w:p>
    <w:p w:rsidR="00AF5A08" w:rsidRDefault="00AF5A08" w:rsidP="00AF5A08">
      <w:pPr>
        <w:pStyle w:val="Bezodstpw"/>
        <w:jc w:val="both"/>
      </w:pPr>
      <w:r>
        <w:t xml:space="preserve">Treści zawarte na stronie internetowej </w:t>
      </w:r>
      <w:hyperlink r:id="rId21"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AF5A08" w:rsidRDefault="00AF5A08" w:rsidP="00AF5A08">
      <w:pPr>
        <w:pStyle w:val="Bezodstpw"/>
        <w:jc w:val="both"/>
      </w:pPr>
    </w:p>
    <w:p w:rsidR="00AF5A08" w:rsidRDefault="00AF5A08" w:rsidP="00AF5A08">
      <w:pPr>
        <w:pStyle w:val="Bezodstpw"/>
        <w:jc w:val="both"/>
      </w:pPr>
      <w:r>
        <w:t xml:space="preserve">Autor nie ponosi odpowiedzialności za jakiekolwiek decyzje inwestycyjne podjęte na podstawie treści zawartych na stronie internetowej </w:t>
      </w:r>
      <w:hyperlink r:id="rId22" w:history="1">
        <w:r w:rsidRPr="00093965">
          <w:rPr>
            <w:rStyle w:val="Hipercze"/>
          </w:rPr>
          <w:t>www.analizy-rynkowe.pl</w:t>
        </w:r>
      </w:hyperlink>
    </w:p>
    <w:sectPr w:rsidR="00AF5A08" w:rsidSect="008022C0">
      <w:footerReference w:type="default" r:id="rId2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61" w:rsidRDefault="00672761" w:rsidP="003F6CD5">
      <w:pPr>
        <w:spacing w:after="0" w:line="240" w:lineRule="auto"/>
      </w:pPr>
      <w:r>
        <w:separator/>
      </w:r>
    </w:p>
  </w:endnote>
  <w:endnote w:type="continuationSeparator" w:id="0">
    <w:p w:rsidR="00672761" w:rsidRDefault="00672761" w:rsidP="003F6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480101" w:rsidRDefault="00870CC7">
        <w:pPr>
          <w:pStyle w:val="Stopka"/>
          <w:jc w:val="center"/>
        </w:pPr>
        <w:fldSimple w:instr="PAGE   \* MERGEFORMAT">
          <w:r w:rsidR="00DD59B9">
            <w:rPr>
              <w:noProof/>
            </w:rPr>
            <w:t>12</w:t>
          </w:r>
        </w:fldSimple>
      </w:p>
    </w:sdtContent>
  </w:sdt>
  <w:p w:rsidR="00480101" w:rsidRDefault="004801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61" w:rsidRDefault="00672761" w:rsidP="003F6CD5">
      <w:pPr>
        <w:spacing w:after="0" w:line="240" w:lineRule="auto"/>
      </w:pPr>
      <w:r>
        <w:separator/>
      </w:r>
    </w:p>
  </w:footnote>
  <w:footnote w:type="continuationSeparator" w:id="0">
    <w:p w:rsidR="00672761" w:rsidRDefault="00672761" w:rsidP="003F6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BF9"/>
    <w:multiLevelType w:val="hybridMultilevel"/>
    <w:tmpl w:val="FF667A3E"/>
    <w:lvl w:ilvl="0" w:tplc="7BF62FA4">
      <w:numFmt w:val="bullet"/>
      <w:lvlText w:val=""/>
      <w:lvlJc w:val="left"/>
      <w:pPr>
        <w:ind w:left="720" w:hanging="360"/>
      </w:pPr>
      <w:rPr>
        <w:rFonts w:ascii="Wingdings" w:eastAsiaTheme="minorHAnsi" w:hAnsi="Wingdings" w:cstheme="minorBid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B2C72E2"/>
    <w:multiLevelType w:val="hybridMultilevel"/>
    <w:tmpl w:val="AE9AD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84F64"/>
    <w:rsid w:val="00003177"/>
    <w:rsid w:val="000A68C5"/>
    <w:rsid w:val="0012042C"/>
    <w:rsid w:val="001D0E6E"/>
    <w:rsid w:val="002A54A1"/>
    <w:rsid w:val="002D2D4D"/>
    <w:rsid w:val="003151AA"/>
    <w:rsid w:val="003212B4"/>
    <w:rsid w:val="003404E6"/>
    <w:rsid w:val="003A0C4E"/>
    <w:rsid w:val="003F6CD5"/>
    <w:rsid w:val="00480101"/>
    <w:rsid w:val="00492715"/>
    <w:rsid w:val="00540E84"/>
    <w:rsid w:val="00574391"/>
    <w:rsid w:val="00646F30"/>
    <w:rsid w:val="00672761"/>
    <w:rsid w:val="006A52F3"/>
    <w:rsid w:val="006B167A"/>
    <w:rsid w:val="006C6895"/>
    <w:rsid w:val="006E04AF"/>
    <w:rsid w:val="006F4F40"/>
    <w:rsid w:val="00701EF4"/>
    <w:rsid w:val="0071272D"/>
    <w:rsid w:val="007421A2"/>
    <w:rsid w:val="007C71A1"/>
    <w:rsid w:val="008022C0"/>
    <w:rsid w:val="00810232"/>
    <w:rsid w:val="00870CC7"/>
    <w:rsid w:val="00884F64"/>
    <w:rsid w:val="008910B7"/>
    <w:rsid w:val="008B65F6"/>
    <w:rsid w:val="009330C5"/>
    <w:rsid w:val="009335FD"/>
    <w:rsid w:val="00977F23"/>
    <w:rsid w:val="0099571D"/>
    <w:rsid w:val="00A23A40"/>
    <w:rsid w:val="00A9740B"/>
    <w:rsid w:val="00AB19AB"/>
    <w:rsid w:val="00AF5A08"/>
    <w:rsid w:val="00B7565B"/>
    <w:rsid w:val="00BA046B"/>
    <w:rsid w:val="00BB4F68"/>
    <w:rsid w:val="00C06118"/>
    <w:rsid w:val="00C07EB0"/>
    <w:rsid w:val="00C43E82"/>
    <w:rsid w:val="00D65B31"/>
    <w:rsid w:val="00DB2F95"/>
    <w:rsid w:val="00DB6DF7"/>
    <w:rsid w:val="00DD59B9"/>
    <w:rsid w:val="00E606E1"/>
    <w:rsid w:val="00E62A90"/>
    <w:rsid w:val="00F05FE6"/>
    <w:rsid w:val="00FD1A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4F6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4F64"/>
    <w:pPr>
      <w:spacing w:after="0" w:line="240" w:lineRule="auto"/>
    </w:pPr>
    <w:rPr>
      <w:rFonts w:eastAsiaTheme="minorEastAsia"/>
      <w:lang w:eastAsia="pl-PL"/>
    </w:rPr>
  </w:style>
  <w:style w:type="paragraph" w:styleId="Stopka">
    <w:name w:val="footer"/>
    <w:basedOn w:val="Normalny"/>
    <w:link w:val="StopkaZnak"/>
    <w:uiPriority w:val="99"/>
    <w:unhideWhenUsed/>
    <w:rsid w:val="00884F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F64"/>
    <w:rPr>
      <w:rFonts w:eastAsiaTheme="minorEastAsia"/>
      <w:lang w:eastAsia="pl-PL"/>
    </w:rPr>
  </w:style>
  <w:style w:type="character" w:styleId="Hipercze">
    <w:name w:val="Hyperlink"/>
    <w:basedOn w:val="Domylnaczcionkaakapitu"/>
    <w:uiPriority w:val="99"/>
    <w:unhideWhenUsed/>
    <w:rsid w:val="00884F64"/>
    <w:rPr>
      <w:color w:val="0000FF" w:themeColor="hyperlink"/>
      <w:u w:val="single"/>
    </w:rPr>
  </w:style>
  <w:style w:type="table" w:styleId="Tabela-Siatka">
    <w:name w:val="Table Grid"/>
    <w:basedOn w:val="Standardowy"/>
    <w:uiPriority w:val="59"/>
    <w:rsid w:val="0088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84F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F64"/>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6A52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2F3"/>
    <w:rPr>
      <w:rFonts w:eastAsiaTheme="minorEastAsia"/>
      <w:sz w:val="20"/>
      <w:szCs w:val="20"/>
      <w:lang w:eastAsia="pl-PL"/>
    </w:rPr>
  </w:style>
  <w:style w:type="character" w:styleId="Odwoanieprzypisukocowego">
    <w:name w:val="endnote reference"/>
    <w:basedOn w:val="Domylnaczcionkaakapitu"/>
    <w:uiPriority w:val="99"/>
    <w:semiHidden/>
    <w:unhideWhenUsed/>
    <w:rsid w:val="006A52F3"/>
    <w:rPr>
      <w:vertAlign w:val="superscript"/>
    </w:rPr>
  </w:style>
  <w:style w:type="paragraph" w:styleId="Akapitzlist">
    <w:name w:val="List Paragraph"/>
    <w:basedOn w:val="Normalny"/>
    <w:uiPriority w:val="34"/>
    <w:qFormat/>
    <w:rsid w:val="00AF5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hyperlink" Target="http://www.analizy-rynkowe.pl" TargetMode="External"/><Relationship Id="rId3" Type="http://schemas.openxmlformats.org/officeDocument/2006/relationships/settings" Target="settings.xml"/><Relationship Id="rId21" Type="http://schemas.openxmlformats.org/officeDocument/2006/relationships/hyperlink" Target="http://www.analizy-rynkowe.pl" TargetMode="Externa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5rZZsB0aiH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footer" Target="footer1.xml"/><Relationship Id="rId10" Type="http://schemas.openxmlformats.org/officeDocument/2006/relationships/hyperlink" Target="http://wojciechbialek.blox.pl/2010/12/Co-wynika-z-cyklu-prezydenckiego.html" TargetMode="External"/><Relationship Id="rId19" Type="http://schemas.openxmlformats.org/officeDocument/2006/relationships/hyperlink" Target="http://www.analizy-rynkowe.p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gif"/><Relationship Id="rId22"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3256</Words>
  <Characters>19541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2014-10-04T21:54:00Z</dcterms:created>
  <dcterms:modified xsi:type="dcterms:W3CDTF">2014-10-04T21:54:00Z</dcterms:modified>
</cp:coreProperties>
</file>