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06" w:rsidRPr="00C16D3A" w:rsidRDefault="00025D06" w:rsidP="00025D06">
      <w:pPr>
        <w:pStyle w:val="Bezodstpw"/>
        <w:jc w:val="center"/>
        <w:rPr>
          <w:shadow/>
          <w:color w:val="FF0000"/>
          <w:sz w:val="180"/>
          <w:szCs w:val="180"/>
        </w:rPr>
      </w:pPr>
      <w:r w:rsidRPr="00C16D3A">
        <w:rPr>
          <w:shadow/>
          <w:color w:val="FF0000"/>
          <w:sz w:val="180"/>
          <w:szCs w:val="180"/>
        </w:rPr>
        <w:t>Raport</w:t>
      </w:r>
    </w:p>
    <w:p w:rsidR="00025D06" w:rsidRDefault="00025D06" w:rsidP="00025D06">
      <w:pPr>
        <w:pStyle w:val="Bezodstpw"/>
        <w:jc w:val="center"/>
        <w:rPr>
          <w:shadow/>
          <w:color w:val="FF0000"/>
          <w:sz w:val="180"/>
          <w:szCs w:val="180"/>
        </w:rPr>
      </w:pPr>
      <w:r w:rsidRPr="00C16D3A">
        <w:rPr>
          <w:shadow/>
          <w:color w:val="FF0000"/>
          <w:sz w:val="180"/>
          <w:szCs w:val="180"/>
        </w:rPr>
        <w:t>Tygodniowy</w:t>
      </w:r>
    </w:p>
    <w:p w:rsidR="00025D06" w:rsidRPr="00BB2EC3" w:rsidRDefault="00025D06" w:rsidP="00025D06">
      <w:pPr>
        <w:pStyle w:val="Bezodstpw"/>
        <w:jc w:val="center"/>
        <w:rPr>
          <w:shadow/>
          <w:color w:val="FF0000"/>
          <w:sz w:val="100"/>
          <w:szCs w:val="100"/>
        </w:rPr>
      </w:pPr>
      <w:r w:rsidRPr="00BB2EC3">
        <w:rPr>
          <w:shadow/>
          <w:color w:val="FF0000"/>
          <w:sz w:val="100"/>
          <w:szCs w:val="100"/>
        </w:rPr>
        <w:t>o sytuacji na</w:t>
      </w:r>
    </w:p>
    <w:p w:rsidR="00025D06" w:rsidRPr="00BB2EC3" w:rsidRDefault="00025D06" w:rsidP="00025D06">
      <w:pPr>
        <w:pStyle w:val="Bezodstpw"/>
        <w:jc w:val="center"/>
        <w:rPr>
          <w:shadow/>
          <w:color w:val="FF0000"/>
          <w:sz w:val="100"/>
          <w:szCs w:val="100"/>
        </w:rPr>
      </w:pPr>
      <w:r w:rsidRPr="00BB2EC3">
        <w:rPr>
          <w:shadow/>
          <w:color w:val="FF0000"/>
          <w:sz w:val="100"/>
          <w:szCs w:val="100"/>
        </w:rPr>
        <w:t>rynkach finansowych</w:t>
      </w:r>
    </w:p>
    <w:p w:rsidR="00025D06" w:rsidRPr="00400806" w:rsidRDefault="00025D06" w:rsidP="00025D06">
      <w:pPr>
        <w:pStyle w:val="Bezodstpw"/>
        <w:jc w:val="center"/>
        <w:rPr>
          <w:sz w:val="48"/>
          <w:szCs w:val="48"/>
        </w:rPr>
      </w:pPr>
    </w:p>
    <w:p w:rsidR="00025D06" w:rsidRDefault="00025D06" w:rsidP="00025D06">
      <w:pPr>
        <w:pStyle w:val="Bezodstpw"/>
        <w:jc w:val="center"/>
        <w:rPr>
          <w:sz w:val="48"/>
          <w:szCs w:val="48"/>
        </w:rPr>
      </w:pPr>
    </w:p>
    <w:p w:rsidR="00025D06" w:rsidRPr="009A4255" w:rsidRDefault="00025D06" w:rsidP="00025D06">
      <w:pPr>
        <w:pStyle w:val="Bezodstpw"/>
        <w:jc w:val="center"/>
        <w:rPr>
          <w:shadow/>
          <w:sz w:val="100"/>
          <w:szCs w:val="100"/>
          <w:u w:val="single"/>
        </w:rPr>
      </w:pPr>
      <w:r w:rsidRPr="009A4255">
        <w:rPr>
          <w:shadow/>
          <w:sz w:val="100"/>
          <w:szCs w:val="100"/>
          <w:u w:val="single"/>
        </w:rPr>
        <w:t>Rynek walutowy</w:t>
      </w:r>
    </w:p>
    <w:p w:rsidR="00025D06" w:rsidRPr="009A4255" w:rsidRDefault="00025D06" w:rsidP="00025D06">
      <w:pPr>
        <w:pStyle w:val="Bezodstpw"/>
        <w:jc w:val="center"/>
        <w:rPr>
          <w:shadow/>
          <w:sz w:val="100"/>
          <w:szCs w:val="100"/>
        </w:rPr>
      </w:pPr>
    </w:p>
    <w:p w:rsidR="00025D06" w:rsidRPr="009A4255" w:rsidRDefault="00025D06" w:rsidP="00025D06">
      <w:pPr>
        <w:pStyle w:val="Bezodstpw"/>
        <w:jc w:val="center"/>
        <w:rPr>
          <w:shadow/>
          <w:sz w:val="100"/>
          <w:szCs w:val="100"/>
          <w:u w:val="single"/>
        </w:rPr>
      </w:pPr>
      <w:r w:rsidRPr="009A4255">
        <w:rPr>
          <w:shadow/>
          <w:sz w:val="100"/>
          <w:szCs w:val="100"/>
          <w:u w:val="single"/>
        </w:rPr>
        <w:t>Rynek akcji</w:t>
      </w:r>
    </w:p>
    <w:p w:rsidR="00025D06" w:rsidRDefault="00025D06" w:rsidP="00025D06">
      <w:pPr>
        <w:pStyle w:val="Bezodstpw"/>
        <w:jc w:val="both"/>
      </w:pPr>
    </w:p>
    <w:p w:rsidR="00025D06" w:rsidRDefault="00025D06" w:rsidP="00025D06">
      <w:pPr>
        <w:pStyle w:val="Bezodstpw"/>
        <w:jc w:val="both"/>
      </w:pPr>
    </w:p>
    <w:p w:rsidR="00025D06" w:rsidRDefault="00025D06" w:rsidP="00025D06">
      <w:pPr>
        <w:pStyle w:val="Bezodstpw"/>
        <w:jc w:val="both"/>
      </w:pPr>
    </w:p>
    <w:p w:rsidR="00025D06" w:rsidRDefault="00025D06" w:rsidP="00025D06">
      <w:pPr>
        <w:pStyle w:val="Bezodstpw"/>
        <w:jc w:val="both"/>
      </w:pPr>
    </w:p>
    <w:p w:rsidR="00025D06" w:rsidRDefault="00025D06" w:rsidP="00025D06">
      <w:pPr>
        <w:pStyle w:val="Bezodstpw"/>
        <w:jc w:val="both"/>
      </w:pPr>
    </w:p>
    <w:p w:rsidR="00025D06" w:rsidRDefault="00025D06" w:rsidP="00025D06">
      <w:pPr>
        <w:pStyle w:val="Bezodstpw"/>
        <w:jc w:val="both"/>
      </w:pPr>
    </w:p>
    <w:p w:rsidR="00025D06" w:rsidRDefault="00025D06" w:rsidP="00025D06">
      <w:pPr>
        <w:pStyle w:val="Bezodstpw"/>
        <w:jc w:val="both"/>
      </w:pPr>
    </w:p>
    <w:p w:rsidR="00025D06" w:rsidRDefault="00025D06" w:rsidP="00025D06">
      <w:pPr>
        <w:pStyle w:val="Bezodstpw"/>
        <w:jc w:val="both"/>
      </w:pPr>
    </w:p>
    <w:p w:rsidR="0026669F" w:rsidRPr="00D72F94" w:rsidRDefault="0026669F" w:rsidP="0026669F">
      <w:pPr>
        <w:pStyle w:val="Bezodstpw"/>
        <w:jc w:val="both"/>
        <w:rPr>
          <w:shadow/>
          <w:sz w:val="24"/>
          <w:szCs w:val="24"/>
        </w:rPr>
      </w:pPr>
      <w:r w:rsidRPr="00D72F94">
        <w:rPr>
          <w:shadow/>
          <w:sz w:val="24"/>
          <w:szCs w:val="24"/>
        </w:rPr>
        <w:lastRenderedPageBreak/>
        <w:t xml:space="preserve">Poniedziałek, </w:t>
      </w:r>
      <w:r>
        <w:rPr>
          <w:shadow/>
          <w:sz w:val="24"/>
          <w:szCs w:val="24"/>
        </w:rPr>
        <w:t>22</w:t>
      </w:r>
      <w:r w:rsidRPr="00D72F94">
        <w:rPr>
          <w:shadow/>
          <w:sz w:val="24"/>
          <w:szCs w:val="24"/>
        </w:rPr>
        <w:t xml:space="preserve"> września 2014 roku</w:t>
      </w:r>
    </w:p>
    <w:p w:rsidR="0026669F" w:rsidRDefault="0026669F" w:rsidP="0026669F">
      <w:pPr>
        <w:pStyle w:val="Bezodstpw"/>
        <w:jc w:val="both"/>
      </w:pPr>
    </w:p>
    <w:p w:rsidR="0026669F" w:rsidRDefault="0026669F" w:rsidP="0026669F">
      <w:pPr>
        <w:pStyle w:val="Bezodstpw"/>
        <w:pBdr>
          <w:top w:val="single" w:sz="4" w:space="1" w:color="auto"/>
          <w:left w:val="single" w:sz="4" w:space="4" w:color="auto"/>
          <w:bottom w:val="single" w:sz="4" w:space="1" w:color="auto"/>
          <w:right w:val="single" w:sz="4" w:space="4" w:color="auto"/>
        </w:pBdr>
        <w:jc w:val="center"/>
      </w:pPr>
      <w:r>
        <w:t>Kurs USD/PLN – perspektywa długoterminowa, kurs z 19 września 2014 roku = 3,256</w:t>
      </w:r>
    </w:p>
    <w:p w:rsidR="0026669F" w:rsidRDefault="0026669F" w:rsidP="0026669F">
      <w:pPr>
        <w:pStyle w:val="Bezodstpw"/>
        <w:jc w:val="both"/>
      </w:pPr>
    </w:p>
    <w:p w:rsidR="0026669F" w:rsidRDefault="0026669F" w:rsidP="0026669F">
      <w:pPr>
        <w:pStyle w:val="Bezodstpw"/>
        <w:jc w:val="both"/>
      </w:pPr>
      <w:r>
        <w:rPr>
          <w:noProof/>
        </w:rPr>
        <w:drawing>
          <wp:inline distT="0" distB="0" distL="0" distR="0">
            <wp:extent cx="3609975" cy="2181225"/>
            <wp:effectExtent l="19050" t="0" r="9525" b="0"/>
            <wp:docPr id="3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609975" cy="2181225"/>
                    </a:xfrm>
                    <a:prstGeom prst="rect">
                      <a:avLst/>
                    </a:prstGeom>
                    <a:noFill/>
                  </pic:spPr>
                </pic:pic>
              </a:graphicData>
            </a:graphic>
          </wp:inline>
        </w:drawing>
      </w:r>
    </w:p>
    <w:p w:rsidR="0026669F" w:rsidRDefault="0026669F" w:rsidP="0026669F">
      <w:pPr>
        <w:pStyle w:val="Bezodstpw"/>
      </w:pPr>
    </w:p>
    <w:p w:rsidR="0026669F" w:rsidRDefault="0026669F" w:rsidP="0026669F">
      <w:pPr>
        <w:pStyle w:val="Bezodstpw"/>
        <w:jc w:val="both"/>
      </w:pPr>
      <w:r>
        <w:t xml:space="preserve">Sytuacja długoterminowa bez zmian. Kurs dolara (w złotych) nadal znajduje się poniżej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stanowi </w:t>
      </w:r>
      <w:r w:rsidRPr="00EC4DE7">
        <w:rPr>
          <w:b/>
        </w:rPr>
        <w:t>bardzo ważny opór</w:t>
      </w:r>
      <w:r>
        <w:t xml:space="preserve">. W chwili obecnej przebiega ona na poziomie </w:t>
      </w:r>
      <w:r w:rsidRPr="00EC4DE7">
        <w:rPr>
          <w:b/>
          <w:color w:val="FF0000"/>
        </w:rPr>
        <w:t>3,41</w:t>
      </w:r>
      <w:r w:rsidR="00BB7939">
        <w:rPr>
          <w:b/>
          <w:color w:val="FF0000"/>
        </w:rPr>
        <w:t>0</w:t>
      </w:r>
      <w:r>
        <w:t xml:space="preserve">. W kolejnych miesiącach z natury rzeczy przebiegać będzie ona na coraz niższym poziomie – w końcu września na poziomie 3,408, w końcu października na poziomie 3,401, w końcu listopada na poziomie 3,394, w końcu grudnia na poziomie 3,388. Można sądzić, że </w:t>
      </w:r>
      <w:r w:rsidRPr="0052647A">
        <w:rPr>
          <w:b/>
          <w:u w:val="single"/>
        </w:rPr>
        <w:t>jeszcze w tym roku</w:t>
      </w:r>
      <w:r>
        <w:t xml:space="preserve"> kurs dolara (w złotych) osiągnie od dołu poziom wspomnianej długoterminowej spadkowej linii trendu. </w:t>
      </w:r>
      <w:r w:rsidRPr="007A4135">
        <w:rPr>
          <w:b/>
        </w:rPr>
        <w:t>P</w:t>
      </w:r>
      <w:r w:rsidRPr="007A4135">
        <w:rPr>
          <w:b/>
          <w:u w:val="single"/>
        </w:rPr>
        <w:t>rz</w:t>
      </w:r>
      <w:r w:rsidRPr="004E7F4F">
        <w:rPr>
          <w:b/>
          <w:u w:val="single"/>
        </w:rPr>
        <w:t>ebita</w:t>
      </w:r>
      <w:r w:rsidRPr="00EC4DE7">
        <w:rPr>
          <w:b/>
        </w:rPr>
        <w:t xml:space="preserve"> została od dołu</w:t>
      </w:r>
      <w:r>
        <w:t xml:space="preserve"> </w:t>
      </w:r>
      <w:r w:rsidRPr="004E7F4F">
        <w:rPr>
          <w:b/>
        </w:rPr>
        <w:t>linia</w:t>
      </w:r>
      <w:r>
        <w:t xml:space="preserve"> poprowadzona przez szczyty z czerwca 2012 roku oraz lipca 2013 roku. </w:t>
      </w:r>
    </w:p>
    <w:p w:rsidR="0026669F" w:rsidRDefault="0026669F" w:rsidP="0026669F">
      <w:pPr>
        <w:pStyle w:val="Bezodstpw"/>
        <w:jc w:val="both"/>
      </w:pPr>
    </w:p>
    <w:p w:rsidR="0026669F" w:rsidRDefault="0026669F" w:rsidP="0026669F">
      <w:pPr>
        <w:pStyle w:val="Bezodstpw"/>
        <w:pBdr>
          <w:top w:val="single" w:sz="4" w:space="1" w:color="auto"/>
          <w:left w:val="single" w:sz="4" w:space="4" w:color="auto"/>
          <w:bottom w:val="single" w:sz="4" w:space="1" w:color="auto"/>
          <w:right w:val="single" w:sz="4" w:space="4" w:color="auto"/>
        </w:pBdr>
        <w:jc w:val="center"/>
      </w:pPr>
      <w:r>
        <w:t>Kurs EUR/PLN – perspektywa długoterminowa, kurs z 19 września 2014 roku = 4,179</w:t>
      </w:r>
    </w:p>
    <w:p w:rsidR="0026669F" w:rsidRDefault="0026669F" w:rsidP="0026669F">
      <w:pPr>
        <w:pStyle w:val="Bezodstpw"/>
        <w:jc w:val="both"/>
      </w:pPr>
    </w:p>
    <w:p w:rsidR="0026669F" w:rsidRDefault="0026669F" w:rsidP="0026669F">
      <w:pPr>
        <w:pStyle w:val="Bezodstpw"/>
        <w:jc w:val="both"/>
      </w:pPr>
      <w:r>
        <w:rPr>
          <w:noProof/>
        </w:rPr>
        <w:drawing>
          <wp:inline distT="0" distB="0" distL="0" distR="0">
            <wp:extent cx="3648075" cy="2219325"/>
            <wp:effectExtent l="19050" t="0" r="9525" b="0"/>
            <wp:docPr id="3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48075" cy="2219325"/>
                    </a:xfrm>
                    <a:prstGeom prst="rect">
                      <a:avLst/>
                    </a:prstGeom>
                    <a:noFill/>
                  </pic:spPr>
                </pic:pic>
              </a:graphicData>
            </a:graphic>
          </wp:inline>
        </w:drawing>
      </w:r>
    </w:p>
    <w:p w:rsidR="0026669F" w:rsidRDefault="0026669F" w:rsidP="0026669F">
      <w:pPr>
        <w:pStyle w:val="Bezodstpw"/>
      </w:pPr>
    </w:p>
    <w:p w:rsidR="0026669F" w:rsidRDefault="0026669F" w:rsidP="0026669F">
      <w:pPr>
        <w:pStyle w:val="Bezodstpw"/>
        <w:jc w:val="both"/>
      </w:pPr>
      <w:r>
        <w:t xml:space="preserve">Kurs euro (w złotych) także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Pr>
          <w:b/>
          <w:color w:val="FF0000"/>
        </w:rPr>
        <w:t>7</w:t>
      </w:r>
      <w:r w:rsidR="00BB7939">
        <w:rPr>
          <w:b/>
          <w:color w:val="FF0000"/>
        </w:rPr>
        <w:t>4</w:t>
      </w:r>
      <w:r>
        <w:t>. W kolejnych miesiącach z natury rzeczy przebiegać będzie ona na coraz niższym poziomie – w końcu września na poziomie 2,272, w końcu października na poziomie 4,263,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4E7F4F">
        <w:rPr>
          <w:b/>
          <w:u w:val="single"/>
        </w:rPr>
        <w:t xml:space="preserve">naruszona została </w:t>
      </w:r>
      <w:r w:rsidRPr="00EC4DE7">
        <w:rPr>
          <w:b/>
        </w:rPr>
        <w:t>od dołu nieco niższa linia</w:t>
      </w:r>
      <w:r>
        <w:t xml:space="preserve"> poprowadzona przez szczyty z grudnia 2011 roku oraz czerwca 2013 roku. </w:t>
      </w:r>
    </w:p>
    <w:p w:rsidR="0026669F" w:rsidRDefault="00443EE2" w:rsidP="00443EE2">
      <w:pPr>
        <w:pStyle w:val="Bezodstpw"/>
        <w:pBdr>
          <w:top w:val="single" w:sz="4" w:space="1" w:color="auto"/>
          <w:left w:val="single" w:sz="4" w:space="4" w:color="auto"/>
          <w:bottom w:val="single" w:sz="4" w:space="1" w:color="auto"/>
          <w:right w:val="single" w:sz="4" w:space="4" w:color="auto"/>
        </w:pBdr>
        <w:jc w:val="center"/>
      </w:pPr>
      <w:r>
        <w:lastRenderedPageBreak/>
        <w:t>WIG 20 – perspektywa długoterminowa</w:t>
      </w:r>
    </w:p>
    <w:p w:rsidR="00443EE2" w:rsidRDefault="00443EE2" w:rsidP="00025D06">
      <w:pPr>
        <w:pStyle w:val="Bezodstpw"/>
        <w:jc w:val="both"/>
      </w:pPr>
    </w:p>
    <w:p w:rsidR="00443EE2" w:rsidRDefault="00443EE2" w:rsidP="00443EE2">
      <w:pPr>
        <w:pStyle w:val="Bezodstpw"/>
        <w:jc w:val="both"/>
      </w:pPr>
      <w:r>
        <w:t>W ,,Raporcie Tygodniowym” z 8 września wskazywałem na ciekawe zjawisko w przypadku zachowania średnich ruchomych obliczanych na podstawie danych z 45</w:t>
      </w:r>
      <w:r w:rsidR="008D5F0C">
        <w:t xml:space="preserve"> (średnia różowa)</w:t>
      </w:r>
      <w:r>
        <w:t xml:space="preserve">, 100 </w:t>
      </w:r>
      <w:r w:rsidR="00025A6E">
        <w:t xml:space="preserve">tygodni </w:t>
      </w:r>
      <w:r w:rsidR="008D5F0C">
        <w:t xml:space="preserve">(średnia żółta) </w:t>
      </w:r>
      <w:r>
        <w:t xml:space="preserve">oraz 200 tygodni </w:t>
      </w:r>
      <w:r w:rsidR="008D5F0C">
        <w:t xml:space="preserve">(średnia niebieska) </w:t>
      </w:r>
      <w:r>
        <w:t xml:space="preserve">w oparciu o dane z indeksu WIG20. </w:t>
      </w:r>
    </w:p>
    <w:p w:rsidR="008D5F0C" w:rsidRDefault="008D5F0C" w:rsidP="00443EE2">
      <w:pPr>
        <w:pStyle w:val="Bezodstpw"/>
        <w:jc w:val="both"/>
      </w:pPr>
    </w:p>
    <w:p w:rsidR="008D5F0C" w:rsidRDefault="008D5F0C" w:rsidP="00443EE2">
      <w:pPr>
        <w:pStyle w:val="Bezodstpw"/>
        <w:jc w:val="both"/>
      </w:pPr>
      <w:r>
        <w:rPr>
          <w:noProof/>
        </w:rPr>
        <w:drawing>
          <wp:inline distT="0" distB="0" distL="0" distR="0">
            <wp:extent cx="6000750" cy="36195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0" cy="3619500"/>
                    </a:xfrm>
                    <a:prstGeom prst="rect">
                      <a:avLst/>
                    </a:prstGeom>
                    <a:noFill/>
                  </pic:spPr>
                </pic:pic>
              </a:graphicData>
            </a:graphic>
          </wp:inline>
        </w:drawing>
      </w:r>
    </w:p>
    <w:p w:rsidR="00443EE2" w:rsidRDefault="00443EE2" w:rsidP="00443EE2">
      <w:pPr>
        <w:pStyle w:val="Bezodstpw"/>
        <w:jc w:val="both"/>
      </w:pPr>
    </w:p>
    <w:p w:rsidR="00443EE2" w:rsidRDefault="00443EE2" w:rsidP="00443EE2">
      <w:pPr>
        <w:pStyle w:val="Bezodstpw"/>
        <w:jc w:val="both"/>
      </w:pPr>
      <w:r>
        <w:t xml:space="preserve">Przypomnę, że chodziło mi wówczas o to, że normalny zjawiskiem jest to, że średnia z 45 tygodni leży ,,na skraju” średnich, czyli albo najwyżej, ale najniżej. </w:t>
      </w:r>
      <w:r w:rsidRPr="008D5F0C">
        <w:rPr>
          <w:b/>
          <w:color w:val="FF0000"/>
        </w:rPr>
        <w:t xml:space="preserve">Od </w:t>
      </w:r>
      <w:r w:rsidR="008D5F0C" w:rsidRPr="008D5F0C">
        <w:rPr>
          <w:b/>
          <w:color w:val="FF0000"/>
        </w:rPr>
        <w:t>kwietnia 2013 roku</w:t>
      </w:r>
      <w:r w:rsidR="008D5F0C">
        <w:t xml:space="preserve"> śr</w:t>
      </w:r>
      <w:r>
        <w:t xml:space="preserve">ednia z 45  tygodni znajduje się pomiędzy średnią z 100 tygodni a średnią z 200 tygodni, co jest swoistą </w:t>
      </w:r>
      <w:r w:rsidRPr="00054440">
        <w:rPr>
          <w:b/>
        </w:rPr>
        <w:t>anomalią.</w:t>
      </w:r>
      <w:r>
        <w:t xml:space="preserve"> Jest to przejaw konsolidacji</w:t>
      </w:r>
      <w:r w:rsidRPr="008D5F0C">
        <w:rPr>
          <w:b/>
          <w:u w:val="single"/>
        </w:rPr>
        <w:t>. Po jej zakończeniu możemy oczekiwać bardzo silnego ruchu</w:t>
      </w:r>
      <w:r>
        <w:t xml:space="preserve">, zakładam, że w gorę. </w:t>
      </w:r>
      <w:r w:rsidR="000B1269">
        <w:t>Powstaje oczywiście pytanie: dlaczego w górę ?</w:t>
      </w:r>
    </w:p>
    <w:p w:rsidR="00443EE2" w:rsidRDefault="00443EE2" w:rsidP="00025D06">
      <w:pPr>
        <w:pStyle w:val="Bezodstpw"/>
        <w:jc w:val="both"/>
      </w:pPr>
    </w:p>
    <w:p w:rsidR="000B1269" w:rsidRDefault="000B1269" w:rsidP="000B1269">
      <w:pPr>
        <w:pStyle w:val="Bezodstpw"/>
        <w:jc w:val="both"/>
      </w:pPr>
      <w:r>
        <w:t xml:space="preserve">Świadczy o tym szereg czynników. </w:t>
      </w:r>
    </w:p>
    <w:p w:rsidR="000B1269" w:rsidRDefault="000B1269" w:rsidP="000B1269">
      <w:pPr>
        <w:pStyle w:val="Bezodstpw"/>
        <w:jc w:val="both"/>
      </w:pPr>
    </w:p>
    <w:p w:rsidR="000B1269" w:rsidRPr="0035481E" w:rsidRDefault="000B1269" w:rsidP="000B1269">
      <w:pPr>
        <w:pStyle w:val="Bezodstpw"/>
        <w:numPr>
          <w:ilvl w:val="0"/>
          <w:numId w:val="3"/>
        </w:numPr>
        <w:jc w:val="both"/>
        <w:rPr>
          <w:b/>
        </w:rPr>
      </w:pPr>
      <w:r>
        <w:t xml:space="preserve">Po pierwsze w końcu października 2014 roku (w końcu października drugiego roku po wyborach prezydenckich w USA) rozpoczyna się statystycznie </w:t>
      </w:r>
      <w:r w:rsidRPr="0035481E">
        <w:rPr>
          <w:b/>
        </w:rPr>
        <w:t>bardzo korzystna</w:t>
      </w:r>
      <w:r>
        <w:t xml:space="preserve"> dla posiadaczy akcji </w:t>
      </w:r>
      <w:r w:rsidRPr="0035481E">
        <w:rPr>
          <w:b/>
        </w:rPr>
        <w:t xml:space="preserve">faza czteroletniego cyklu prezydenckiego w USA. </w:t>
      </w:r>
    </w:p>
    <w:p w:rsidR="000B1269" w:rsidRDefault="000B1269" w:rsidP="000B1269">
      <w:pPr>
        <w:pStyle w:val="Bezodstpw"/>
        <w:jc w:val="both"/>
      </w:pPr>
    </w:p>
    <w:p w:rsidR="000B1269" w:rsidRDefault="000B1269" w:rsidP="000B1269">
      <w:pPr>
        <w:pStyle w:val="Bezodstpw"/>
        <w:numPr>
          <w:ilvl w:val="0"/>
          <w:numId w:val="3"/>
        </w:numPr>
        <w:jc w:val="both"/>
      </w:pPr>
      <w:r>
        <w:t xml:space="preserve">Po drugie: wszelkie krachy na polskim rynku akcji (ten rozpoczęty na wiosnę 1994 roku, ten rozpoczęty na wiosnę 2000 roku oraz ten rozpoczęty na przełomie 2007 oraz 2008 roku) rozpoczynały się od silnego przewartościowania cen akcji pod względem wskaźnika C/WK (cena do wartości księgowej przekraczała wyraźnie 2,0). Takiego </w:t>
      </w:r>
      <w:r w:rsidRPr="0035481E">
        <w:rPr>
          <w:b/>
        </w:rPr>
        <w:t xml:space="preserve">przewartościowania </w:t>
      </w:r>
      <w:r>
        <w:t xml:space="preserve">obecnie </w:t>
      </w:r>
      <w:r w:rsidRPr="0035481E">
        <w:rPr>
          <w:b/>
        </w:rPr>
        <w:t>na ma. C/WK wynosi 1,1.</w:t>
      </w:r>
      <w:r>
        <w:t xml:space="preserve"> </w:t>
      </w:r>
    </w:p>
    <w:p w:rsidR="000B1269" w:rsidRDefault="000B1269" w:rsidP="000B1269">
      <w:pPr>
        <w:pStyle w:val="Bezodstpw"/>
        <w:jc w:val="both"/>
      </w:pPr>
    </w:p>
    <w:p w:rsidR="000B1269" w:rsidRDefault="000B1269" w:rsidP="000B1269">
      <w:pPr>
        <w:pStyle w:val="Bezodstpw"/>
        <w:numPr>
          <w:ilvl w:val="0"/>
          <w:numId w:val="3"/>
        </w:numPr>
        <w:jc w:val="both"/>
      </w:pPr>
      <w:r>
        <w:t xml:space="preserve">Po trzecie: na świecie mamy do czynienia z trwającą </w:t>
      </w:r>
      <w:r w:rsidRPr="0035481E">
        <w:rPr>
          <w:b/>
        </w:rPr>
        <w:t>fazą łagodnej polityki pieniężnej</w:t>
      </w:r>
      <w:r>
        <w:t xml:space="preserve">. </w:t>
      </w:r>
    </w:p>
    <w:p w:rsidR="000B1269" w:rsidRDefault="000B1269" w:rsidP="000B1269">
      <w:pPr>
        <w:pStyle w:val="Bezodstpw"/>
        <w:jc w:val="both"/>
      </w:pPr>
    </w:p>
    <w:p w:rsidR="000B1269" w:rsidRDefault="000B1269" w:rsidP="000B1269">
      <w:pPr>
        <w:pStyle w:val="Bezodstpw"/>
        <w:numPr>
          <w:ilvl w:val="0"/>
          <w:numId w:val="3"/>
        </w:numPr>
        <w:jc w:val="both"/>
      </w:pPr>
      <w:r>
        <w:t xml:space="preserve">Po czwarte: spadające ceny surowców oraz umacniający się dolar (wobec euro) zmniejszają presję inflacyjną w USA, co prawdopodobnie pozwoli dalej utrzymać stopy procentowe na niskim poziomie </w:t>
      </w:r>
      <w:r w:rsidRPr="0035481E">
        <w:rPr>
          <w:b/>
        </w:rPr>
        <w:t>zwiększając skłonność do podejmowania ryzyka na rynkach światowych</w:t>
      </w:r>
      <w:r>
        <w:t xml:space="preserve">. </w:t>
      </w:r>
    </w:p>
    <w:p w:rsidR="000B1269" w:rsidRDefault="000B1269" w:rsidP="000B1269">
      <w:pPr>
        <w:pStyle w:val="Bezodstpw"/>
        <w:jc w:val="both"/>
      </w:pPr>
      <w:r>
        <w:lastRenderedPageBreak/>
        <w:t xml:space="preserve">Biorąc pod uwagę wyrażam przekonanie, że długoterminowe perspektywy sytuacji na polskim rynku akcji </w:t>
      </w:r>
      <w:r w:rsidR="00025A6E">
        <w:t xml:space="preserve">w segmencie akcji o największej kapitalizacji (WIG20) </w:t>
      </w:r>
      <w:r>
        <w:t xml:space="preserve">rysują się bardzo korzystnie. </w:t>
      </w:r>
    </w:p>
    <w:p w:rsidR="000B1269" w:rsidRDefault="000B1269" w:rsidP="00025D06">
      <w:pPr>
        <w:pStyle w:val="Bezodstpw"/>
        <w:jc w:val="both"/>
      </w:pPr>
    </w:p>
    <w:p w:rsidR="00443EE2" w:rsidRDefault="00443EE2" w:rsidP="00443EE2">
      <w:pPr>
        <w:pStyle w:val="Bezodstpw"/>
        <w:jc w:val="both"/>
      </w:pPr>
      <w:r>
        <w:t xml:space="preserve">Jednym z warunków rozpoczęcia długoterminowej hossy w przypadku indeksu WIG 20 (o nadejściu, której pisałem w dwóch pierwszym numerach ,,Raportu Tygodniowego”) jest przebicie rocznych  maksimów przez trzy czołowe indeksy rynków dojrzałych: indeks amerykański, indeks japoński oraz indeks niemiecki. Mam w tym momencie na myśli przebicie maksimów, których poziom wyznaczany jest na podstawie cen zamknięcia. </w:t>
      </w:r>
    </w:p>
    <w:p w:rsidR="00443EE2" w:rsidRDefault="00443EE2" w:rsidP="00443EE2">
      <w:pPr>
        <w:pStyle w:val="Bezodstpw"/>
        <w:jc w:val="both"/>
      </w:pPr>
    </w:p>
    <w:p w:rsidR="00443EE2" w:rsidRDefault="00443EE2" w:rsidP="00443EE2">
      <w:pPr>
        <w:pStyle w:val="Bezodstpw"/>
        <w:jc w:val="both"/>
      </w:pPr>
      <w:r>
        <w:t xml:space="preserve">Teraz popatrzmy na powyższe trzy indeksy. </w:t>
      </w:r>
    </w:p>
    <w:p w:rsidR="00443EE2" w:rsidRDefault="00443EE2" w:rsidP="00443EE2">
      <w:pPr>
        <w:pStyle w:val="Bezodstpw"/>
        <w:jc w:val="both"/>
      </w:pPr>
    </w:p>
    <w:p w:rsidR="00443EE2" w:rsidRDefault="00443EE2" w:rsidP="00443EE2">
      <w:pPr>
        <w:pStyle w:val="Bezodstpw"/>
        <w:numPr>
          <w:ilvl w:val="0"/>
          <w:numId w:val="2"/>
        </w:numPr>
        <w:jc w:val="both"/>
      </w:pPr>
      <w:r>
        <w:t xml:space="preserve">USA (indeks SP 500) – w mijającym tygodniu ustanowił rekord roczny (co oznacza także przebicie </w:t>
      </w:r>
      <w:r w:rsidRPr="00054440">
        <w:rPr>
          <w:b/>
        </w:rPr>
        <w:t>maksimum historycznego</w:t>
      </w:r>
      <w:r>
        <w:t>)</w:t>
      </w:r>
    </w:p>
    <w:p w:rsidR="008D5F0C" w:rsidRDefault="008D5F0C" w:rsidP="008D5F0C">
      <w:pPr>
        <w:pStyle w:val="Bezodstpw"/>
        <w:ind w:left="360"/>
        <w:jc w:val="both"/>
      </w:pPr>
    </w:p>
    <w:p w:rsidR="008D5F0C" w:rsidRDefault="00EF616B" w:rsidP="008D5F0C">
      <w:pPr>
        <w:pStyle w:val="Bezodstpw"/>
        <w:jc w:val="both"/>
      </w:pPr>
      <w:r>
        <w:rPr>
          <w:noProof/>
        </w:rPr>
        <w:drawing>
          <wp:inline distT="0" distB="0" distL="0" distR="0">
            <wp:extent cx="4505325" cy="2724150"/>
            <wp:effectExtent l="19050" t="0" r="9525"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05325" cy="2724150"/>
                    </a:xfrm>
                    <a:prstGeom prst="rect">
                      <a:avLst/>
                    </a:prstGeom>
                    <a:noFill/>
                  </pic:spPr>
                </pic:pic>
              </a:graphicData>
            </a:graphic>
          </wp:inline>
        </w:drawing>
      </w:r>
    </w:p>
    <w:p w:rsidR="008D5F0C" w:rsidRDefault="008D5F0C" w:rsidP="008D5F0C">
      <w:pPr>
        <w:pStyle w:val="Bezodstpw"/>
        <w:jc w:val="both"/>
      </w:pPr>
    </w:p>
    <w:p w:rsidR="00ED3F39" w:rsidRDefault="00443EE2" w:rsidP="00443EE2">
      <w:pPr>
        <w:pStyle w:val="Bezodstpw"/>
        <w:numPr>
          <w:ilvl w:val="0"/>
          <w:numId w:val="2"/>
        </w:numPr>
        <w:jc w:val="both"/>
      </w:pPr>
      <w:r>
        <w:t xml:space="preserve">Japonia (Nikkei 225) – w mijającym tygodniu </w:t>
      </w:r>
      <w:r w:rsidR="00ED3F39">
        <w:t xml:space="preserve">ustanowił </w:t>
      </w:r>
      <w:r w:rsidR="00ED3F39" w:rsidRPr="00054440">
        <w:rPr>
          <w:b/>
        </w:rPr>
        <w:t>rekord roczny</w:t>
      </w:r>
      <w:r w:rsidR="00ED3F39">
        <w:t xml:space="preserve"> </w:t>
      </w:r>
    </w:p>
    <w:p w:rsidR="00EF616B" w:rsidRDefault="00EF616B" w:rsidP="00EF616B">
      <w:pPr>
        <w:pStyle w:val="Bezodstpw"/>
        <w:jc w:val="both"/>
      </w:pPr>
    </w:p>
    <w:p w:rsidR="00EF616B" w:rsidRDefault="00EF616B" w:rsidP="00EF616B">
      <w:pPr>
        <w:pStyle w:val="Bezodstpw"/>
        <w:jc w:val="both"/>
      </w:pPr>
      <w:r>
        <w:rPr>
          <w:noProof/>
        </w:rPr>
        <w:drawing>
          <wp:inline distT="0" distB="0" distL="0" distR="0">
            <wp:extent cx="4505325" cy="2724150"/>
            <wp:effectExtent l="19050" t="0" r="952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05325" cy="2724150"/>
                    </a:xfrm>
                    <a:prstGeom prst="rect">
                      <a:avLst/>
                    </a:prstGeom>
                    <a:noFill/>
                  </pic:spPr>
                </pic:pic>
              </a:graphicData>
            </a:graphic>
          </wp:inline>
        </w:drawing>
      </w:r>
    </w:p>
    <w:p w:rsidR="00EF616B" w:rsidRDefault="00EF616B" w:rsidP="00EF616B">
      <w:pPr>
        <w:pStyle w:val="Bezodstpw"/>
        <w:jc w:val="both"/>
      </w:pPr>
    </w:p>
    <w:p w:rsidR="00EF616B" w:rsidRDefault="00EF616B" w:rsidP="00EF616B">
      <w:pPr>
        <w:pStyle w:val="Bezodstpw"/>
        <w:jc w:val="both"/>
      </w:pPr>
    </w:p>
    <w:p w:rsidR="00443EE2" w:rsidRPr="00054440" w:rsidRDefault="00443EE2" w:rsidP="00443EE2">
      <w:pPr>
        <w:pStyle w:val="Bezodstpw"/>
        <w:numPr>
          <w:ilvl w:val="0"/>
          <w:numId w:val="2"/>
        </w:numPr>
        <w:jc w:val="both"/>
        <w:rPr>
          <w:b/>
        </w:rPr>
      </w:pPr>
      <w:r>
        <w:lastRenderedPageBreak/>
        <w:t xml:space="preserve">Niemcy (DAX 30) – w mijającym tygodniu zbliżył się do swego maksimum rocznego (co także oznacza maksimum historyczne), ale trochę </w:t>
      </w:r>
      <w:r w:rsidRPr="00054440">
        <w:rPr>
          <w:b/>
        </w:rPr>
        <w:t>mu jeszcze do jego pokonania od dołu brakuje</w:t>
      </w:r>
    </w:p>
    <w:p w:rsidR="00443EE2" w:rsidRDefault="00443EE2" w:rsidP="00443EE2">
      <w:pPr>
        <w:pStyle w:val="Bezodstpw"/>
        <w:jc w:val="both"/>
      </w:pPr>
    </w:p>
    <w:p w:rsidR="00EF616B" w:rsidRDefault="00EF616B" w:rsidP="00443EE2">
      <w:pPr>
        <w:pStyle w:val="Bezodstpw"/>
        <w:jc w:val="both"/>
      </w:pPr>
      <w:r>
        <w:rPr>
          <w:noProof/>
        </w:rPr>
        <w:drawing>
          <wp:inline distT="0" distB="0" distL="0" distR="0">
            <wp:extent cx="4505325" cy="2724150"/>
            <wp:effectExtent l="19050" t="0" r="9525"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505325" cy="2724150"/>
                    </a:xfrm>
                    <a:prstGeom prst="rect">
                      <a:avLst/>
                    </a:prstGeom>
                    <a:noFill/>
                  </pic:spPr>
                </pic:pic>
              </a:graphicData>
            </a:graphic>
          </wp:inline>
        </w:drawing>
      </w:r>
    </w:p>
    <w:p w:rsidR="00EF616B" w:rsidRDefault="00EF616B" w:rsidP="00443EE2">
      <w:pPr>
        <w:pStyle w:val="Bezodstpw"/>
        <w:jc w:val="both"/>
      </w:pPr>
    </w:p>
    <w:p w:rsidR="00443EE2" w:rsidRDefault="00443EE2" w:rsidP="00443EE2">
      <w:pPr>
        <w:pStyle w:val="Bezodstpw"/>
        <w:jc w:val="both"/>
      </w:pPr>
      <w:r>
        <w:t xml:space="preserve">Wyrażam przekonanie, że jeżeli dojdzie w przypadku </w:t>
      </w:r>
      <w:r w:rsidR="00EF7AB8" w:rsidRPr="00025A6E">
        <w:rPr>
          <w:b/>
          <w:color w:val="FF0000"/>
        </w:rPr>
        <w:t>wszystkich</w:t>
      </w:r>
      <w:r w:rsidR="00EF7AB8">
        <w:t xml:space="preserve"> </w:t>
      </w:r>
      <w:r w:rsidR="000F5D79">
        <w:t xml:space="preserve">(!) </w:t>
      </w:r>
      <w:r>
        <w:t xml:space="preserve">tych trzech indeksów </w:t>
      </w:r>
      <w:r w:rsidR="00EF7AB8">
        <w:t xml:space="preserve">(czyli także w przypadku indeksu DAX) </w:t>
      </w:r>
      <w:r>
        <w:t>do przebicia rocznych maksimów (wybicia się tym samy</w:t>
      </w:r>
      <w:r w:rsidR="00D13E74">
        <w:t>m</w:t>
      </w:r>
      <w:r>
        <w:t xml:space="preserve"> z obszarów konsolidacji) stworzone zostaną dobre podstawy do hossy w segmencie najbardziej płynnych akcji w Warszawie. </w:t>
      </w:r>
    </w:p>
    <w:p w:rsidR="00443EE2" w:rsidRDefault="00443EE2" w:rsidP="00025D06">
      <w:pPr>
        <w:pStyle w:val="Bezodstpw"/>
        <w:jc w:val="both"/>
      </w:pPr>
    </w:p>
    <w:p w:rsidR="00443EE2" w:rsidRDefault="00443EE2" w:rsidP="00443EE2">
      <w:pPr>
        <w:pStyle w:val="Bezodstpw"/>
        <w:pBdr>
          <w:top w:val="single" w:sz="4" w:space="1" w:color="auto"/>
          <w:left w:val="single" w:sz="4" w:space="4" w:color="auto"/>
          <w:bottom w:val="single" w:sz="4" w:space="1" w:color="auto"/>
          <w:right w:val="single" w:sz="4" w:space="4" w:color="auto"/>
        </w:pBdr>
        <w:jc w:val="center"/>
      </w:pPr>
      <w:r>
        <w:t xml:space="preserve">WIG 20 – perspektywa krótkoterminowa </w:t>
      </w:r>
    </w:p>
    <w:p w:rsidR="00443EE2" w:rsidRDefault="00443EE2" w:rsidP="00025D06">
      <w:pPr>
        <w:pStyle w:val="Bezodstpw"/>
        <w:jc w:val="both"/>
      </w:pPr>
    </w:p>
    <w:p w:rsidR="00443EE2" w:rsidRDefault="00443EE2" w:rsidP="00443EE2">
      <w:pPr>
        <w:pStyle w:val="Bezodstpw"/>
        <w:jc w:val="both"/>
      </w:pPr>
      <w:r>
        <w:t xml:space="preserve">W krótkim okresie podtrzymuję opnie o dużym prawdopodobieństwie </w:t>
      </w:r>
      <w:r w:rsidRPr="00B77C2A">
        <w:rPr>
          <w:b/>
        </w:rPr>
        <w:t>spadku indeksu WIG 20 do poziomu 2 425 punktów albo nawet niżej</w:t>
      </w:r>
      <w:r w:rsidR="00DC75EF">
        <w:t xml:space="preserve"> (</w:t>
      </w:r>
      <w:r w:rsidR="00B77C2A">
        <w:t>o</w:t>
      </w:r>
      <w:r w:rsidR="00DC75EF">
        <w:t xml:space="preserve"> czym można przeczytać w ,,Raporcie Tygodniowym” z 15 września 2014 roku</w:t>
      </w:r>
      <w:r w:rsidR="00D13E74">
        <w:t>)</w:t>
      </w:r>
      <w:r w:rsidR="00DC75EF">
        <w:t xml:space="preserve">. </w:t>
      </w:r>
      <w:r>
        <w:t xml:space="preserve">Warto zauważyć, że w USA w piątek 19 września inwestorzy początkowo chętnie kupowali akcje, ale z biegiem czasu rozpoczęła się ich sprzedaż w rezultacie czego na wykresie na przykład indeksu </w:t>
      </w:r>
      <w:proofErr w:type="spellStart"/>
      <w:r>
        <w:t>Nasdaq</w:t>
      </w:r>
      <w:proofErr w:type="spellEnd"/>
      <w:r>
        <w:t xml:space="preserve"> utworzyła się zapowiadająca krótkoterminowe spadki </w:t>
      </w:r>
      <w:r w:rsidRPr="00B77C2A">
        <w:rPr>
          <w:b/>
        </w:rPr>
        <w:t xml:space="preserve">formacja </w:t>
      </w:r>
      <w:r w:rsidR="00B77C2A" w:rsidRPr="00B77C2A">
        <w:rPr>
          <w:b/>
        </w:rPr>
        <w:t>zasłony ciemnej chmury</w:t>
      </w:r>
      <w:r w:rsidR="00DC75EF">
        <w:t xml:space="preserve"> (pokazana we wnętrz</w:t>
      </w:r>
      <w:r w:rsidR="00B77C2A">
        <w:t xml:space="preserve">u elipsy na poniższym wykresie), o której </w:t>
      </w:r>
      <w:proofErr w:type="spellStart"/>
      <w:r w:rsidR="00B77C2A">
        <w:t>Jared</w:t>
      </w:r>
      <w:proofErr w:type="spellEnd"/>
      <w:r w:rsidR="00B77C2A">
        <w:t xml:space="preserve"> Martinez w swej książce ,,</w:t>
      </w:r>
      <w:r w:rsidR="00B77C2A" w:rsidRPr="00B77C2A">
        <w:t xml:space="preserve">10 fundamentalnych zasad gry na rynku </w:t>
      </w:r>
      <w:proofErr w:type="spellStart"/>
      <w:r w:rsidR="00B77C2A" w:rsidRPr="00B77C2A">
        <w:t>Forex</w:t>
      </w:r>
      <w:proofErr w:type="spellEnd"/>
      <w:r w:rsidR="00B77C2A" w:rsidRPr="00B77C2A">
        <w:t xml:space="preserve">. Strategie osiągania </w:t>
      </w:r>
      <w:r w:rsidR="00B77C2A">
        <w:t xml:space="preserve">zysku pisze” na str.70 pisze, że stanowi ona ,,układ o charakterze spadkowym, którego znaczenie jest większe, </w:t>
      </w:r>
      <w:r w:rsidR="00B77C2A" w:rsidRPr="00B77C2A">
        <w:rPr>
          <w:b/>
          <w:u w:val="single"/>
        </w:rPr>
        <w:t xml:space="preserve">jeśli </w:t>
      </w:r>
      <w:r w:rsidR="00D13E74">
        <w:rPr>
          <w:b/>
          <w:u w:val="single"/>
        </w:rPr>
        <w:t xml:space="preserve">(!) </w:t>
      </w:r>
      <w:r w:rsidR="00B77C2A">
        <w:t xml:space="preserve">korpus drugiej świecy znajduje się poniżej środka korpusu pierwszej” </w:t>
      </w:r>
    </w:p>
    <w:p w:rsidR="00443EE2" w:rsidRDefault="00443EE2" w:rsidP="00443EE2">
      <w:pPr>
        <w:pStyle w:val="Bezodstpw"/>
        <w:jc w:val="both"/>
      </w:pPr>
    </w:p>
    <w:p w:rsidR="00B77C2A" w:rsidRDefault="00B77C2A" w:rsidP="00443EE2">
      <w:pPr>
        <w:pStyle w:val="Bezodstpw"/>
        <w:jc w:val="both"/>
      </w:pPr>
      <w:r>
        <w:rPr>
          <w:noProof/>
        </w:rPr>
        <w:drawing>
          <wp:inline distT="0" distB="0" distL="0" distR="0">
            <wp:extent cx="4210050" cy="2543175"/>
            <wp:effectExtent l="19050" t="0" r="0" b="0"/>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10050" cy="2543175"/>
                    </a:xfrm>
                    <a:prstGeom prst="rect">
                      <a:avLst/>
                    </a:prstGeom>
                    <a:noFill/>
                  </pic:spPr>
                </pic:pic>
              </a:graphicData>
            </a:graphic>
          </wp:inline>
        </w:drawing>
      </w:r>
    </w:p>
    <w:p w:rsidR="00443EE2" w:rsidRDefault="00443EE2" w:rsidP="00443EE2">
      <w:pPr>
        <w:pStyle w:val="Bezodstpw"/>
        <w:jc w:val="both"/>
      </w:pPr>
      <w:r>
        <w:lastRenderedPageBreak/>
        <w:t xml:space="preserve">Z krótkoterminowego punktu widzenia niepokojąco prezentuje się wykres akcji spółki Lotos. Doszło na nim do wybicia ze średnioterminowej formacji podwójnego szczytu. Gdyby miała się ona zrealizować oznaczałoby to spadek kursu akcji tej spółki do 26 złotych 33 groszy. Trudno mi sobie wyobrazić, aby taki spadek odbył się w sytuacji rosnącego poziomu indeksu WIG 20. </w:t>
      </w:r>
    </w:p>
    <w:p w:rsidR="00443EE2" w:rsidRDefault="00443EE2" w:rsidP="00025D06">
      <w:pPr>
        <w:pStyle w:val="Bezodstpw"/>
        <w:jc w:val="both"/>
      </w:pPr>
    </w:p>
    <w:p w:rsidR="00DC75EF" w:rsidRDefault="00DC75EF" w:rsidP="00025D06">
      <w:pPr>
        <w:pStyle w:val="Bezodstpw"/>
        <w:jc w:val="both"/>
      </w:pPr>
      <w:r>
        <w:rPr>
          <w:noProof/>
        </w:rPr>
        <w:drawing>
          <wp:inline distT="0" distB="0" distL="0" distR="0">
            <wp:extent cx="4800600" cy="28956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800600" cy="2895600"/>
                    </a:xfrm>
                    <a:prstGeom prst="rect">
                      <a:avLst/>
                    </a:prstGeom>
                    <a:noFill/>
                  </pic:spPr>
                </pic:pic>
              </a:graphicData>
            </a:graphic>
          </wp:inline>
        </w:drawing>
      </w:r>
    </w:p>
    <w:p w:rsidR="00DC75EF" w:rsidRDefault="00DC75EF" w:rsidP="00025D06">
      <w:pPr>
        <w:pStyle w:val="Bezodstpw"/>
        <w:jc w:val="both"/>
      </w:pPr>
    </w:p>
    <w:p w:rsidR="00DC75EF" w:rsidRDefault="00DC75EF" w:rsidP="00025D06">
      <w:pPr>
        <w:pStyle w:val="Bezodstpw"/>
        <w:jc w:val="both"/>
      </w:pPr>
    </w:p>
    <w:p w:rsidR="00443EE2" w:rsidRDefault="00443EE2" w:rsidP="00443EE2">
      <w:pPr>
        <w:pStyle w:val="Bezodstpw"/>
        <w:pBdr>
          <w:top w:val="single" w:sz="4" w:space="1" w:color="auto"/>
          <w:left w:val="single" w:sz="4" w:space="4" w:color="auto"/>
          <w:bottom w:val="single" w:sz="4" w:space="1" w:color="auto"/>
          <w:right w:val="single" w:sz="4" w:space="4" w:color="auto"/>
        </w:pBdr>
        <w:jc w:val="center"/>
      </w:pPr>
      <w:r>
        <w:t>Relatywna siła małych spółek – WIG 250/WIG20</w:t>
      </w:r>
    </w:p>
    <w:p w:rsidR="00443EE2" w:rsidRDefault="00443EE2" w:rsidP="00025D06">
      <w:pPr>
        <w:pStyle w:val="Bezodstpw"/>
        <w:jc w:val="both"/>
      </w:pPr>
    </w:p>
    <w:p w:rsidR="00443EE2" w:rsidRDefault="00443EE2" w:rsidP="00443EE2">
      <w:pPr>
        <w:pStyle w:val="Bezodstpw"/>
        <w:jc w:val="both"/>
      </w:pPr>
      <w:r>
        <w:t xml:space="preserve">W poprzednim numerze ,,Raportu Tygodniowego” zastanawiałem się nad tym, czy na wykresie siły względnej WIG250/WIG20 pojawiły się już sygnały zwiastujące zakończenie fazy relatywnej słabości akcji małych spółek. Wyraziłem wówczas przekonanie, że z sygnałem takim faktycznie możemy mieć do czynienia. Okazuje się bowiem, że na wykresie tej siły względnej tworzonym za pomocą świec japońskich w oparciu o dane miesięczne ma szansę pojawić się formacja młota. </w:t>
      </w:r>
    </w:p>
    <w:p w:rsidR="00C1544C" w:rsidRDefault="00C1544C" w:rsidP="00443EE2">
      <w:pPr>
        <w:pStyle w:val="Bezodstpw"/>
        <w:jc w:val="both"/>
      </w:pPr>
    </w:p>
    <w:p w:rsidR="00C1544C" w:rsidRDefault="00C1544C" w:rsidP="00443EE2">
      <w:pPr>
        <w:pStyle w:val="Bezodstpw"/>
        <w:jc w:val="both"/>
      </w:pPr>
      <w:r>
        <w:rPr>
          <w:noProof/>
        </w:rPr>
        <w:drawing>
          <wp:inline distT="0" distB="0" distL="0" distR="0">
            <wp:extent cx="4800600" cy="2895600"/>
            <wp:effectExtent l="19050" t="0" r="0" b="0"/>
            <wp:docPr id="1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00600" cy="2895600"/>
                    </a:xfrm>
                    <a:prstGeom prst="rect">
                      <a:avLst/>
                    </a:prstGeom>
                    <a:noFill/>
                  </pic:spPr>
                </pic:pic>
              </a:graphicData>
            </a:graphic>
          </wp:inline>
        </w:drawing>
      </w:r>
    </w:p>
    <w:p w:rsidR="00C1544C" w:rsidRDefault="00C1544C" w:rsidP="00443EE2">
      <w:pPr>
        <w:pStyle w:val="Bezodstpw"/>
        <w:jc w:val="both"/>
      </w:pPr>
    </w:p>
    <w:p w:rsidR="00C1544C" w:rsidRDefault="00C1544C" w:rsidP="00443EE2">
      <w:pPr>
        <w:pStyle w:val="Bezodstpw"/>
        <w:jc w:val="both"/>
      </w:pPr>
    </w:p>
    <w:p w:rsidR="00443EE2" w:rsidRDefault="00443EE2" w:rsidP="00443EE2">
      <w:pPr>
        <w:pStyle w:val="Bezodstpw"/>
        <w:jc w:val="both"/>
      </w:pPr>
      <w:r>
        <w:lastRenderedPageBreak/>
        <w:t xml:space="preserve">Nie wiemy oczywiście jeszcze, czy faktycznie do tego dojdzie. Dwie pierwsze dekady września wydają się jednak pod tym względem zachęcające. Patrząc na wspomniany wykres dostrzegamy tam właśnie formacje młota. </w:t>
      </w:r>
    </w:p>
    <w:p w:rsidR="00C1544C" w:rsidRDefault="00C1544C" w:rsidP="00443EE2">
      <w:pPr>
        <w:pStyle w:val="Bezodstpw"/>
        <w:jc w:val="both"/>
      </w:pPr>
    </w:p>
    <w:p w:rsidR="00C1544C" w:rsidRDefault="00C1544C" w:rsidP="00443EE2">
      <w:pPr>
        <w:pStyle w:val="Bezodstpw"/>
        <w:jc w:val="both"/>
      </w:pPr>
      <w:r>
        <w:t xml:space="preserve">Teoretycznie możliwe jest, że w przypadku kontynuacji trendu umacniania relatywnej siły segmentu małych spółek kosztem segmentu spółek dużych na wykresie siły relatywnej WIG250/WIG20 pojawiła by się </w:t>
      </w:r>
      <w:r w:rsidRPr="000F5D79">
        <w:rPr>
          <w:b/>
        </w:rPr>
        <w:t xml:space="preserve">nawet </w:t>
      </w:r>
      <w:r w:rsidRPr="00D13E74">
        <w:rPr>
          <w:b/>
        </w:rPr>
        <w:t>formacja przenikania lub objęcia hossy</w:t>
      </w:r>
      <w:r>
        <w:t xml:space="preserve">. </w:t>
      </w:r>
    </w:p>
    <w:p w:rsidR="0023724D" w:rsidRDefault="0023724D" w:rsidP="00443EE2">
      <w:pPr>
        <w:pStyle w:val="Bezodstpw"/>
        <w:jc w:val="both"/>
      </w:pPr>
    </w:p>
    <w:p w:rsidR="0023724D" w:rsidRDefault="0023724D" w:rsidP="00443EE2">
      <w:pPr>
        <w:pStyle w:val="Bezodstpw"/>
        <w:jc w:val="both"/>
      </w:pPr>
      <w:r>
        <w:t xml:space="preserve">O różnych rodzajach formacji świecowych będących sygnałem zmiany trendu można przeczytać na stronie Domu Maklerskiego Banku Ochrony Środowiska </w:t>
      </w:r>
    </w:p>
    <w:p w:rsidR="0023724D" w:rsidRDefault="0023724D" w:rsidP="00443EE2">
      <w:pPr>
        <w:pStyle w:val="Bezodstpw"/>
        <w:jc w:val="both"/>
      </w:pPr>
    </w:p>
    <w:p w:rsidR="0023724D" w:rsidRDefault="00F9215E" w:rsidP="00443EE2">
      <w:pPr>
        <w:pStyle w:val="Bezodstpw"/>
        <w:jc w:val="both"/>
      </w:pPr>
      <w:hyperlink r:id="rId16" w:history="1">
        <w:r w:rsidR="0023724D" w:rsidRPr="007026E8">
          <w:rPr>
            <w:rStyle w:val="Hipercze"/>
          </w:rPr>
          <w:t>http://bossa.pl/edukacja/AT/swiecowe/odwrrocenia/</w:t>
        </w:r>
      </w:hyperlink>
    </w:p>
    <w:p w:rsidR="0023724D" w:rsidRDefault="0023724D" w:rsidP="00443EE2">
      <w:pPr>
        <w:pStyle w:val="Bezodstpw"/>
        <w:jc w:val="both"/>
      </w:pPr>
    </w:p>
    <w:p w:rsidR="00443EE2" w:rsidRDefault="00443EE2" w:rsidP="00025D06">
      <w:pPr>
        <w:pStyle w:val="Bezodstpw"/>
        <w:jc w:val="both"/>
      </w:pPr>
    </w:p>
    <w:p w:rsidR="00443EE2" w:rsidRDefault="00443EE2" w:rsidP="00443EE2">
      <w:pPr>
        <w:pStyle w:val="Bezodstpw"/>
        <w:pBdr>
          <w:top w:val="single" w:sz="4" w:space="1" w:color="auto"/>
          <w:left w:val="single" w:sz="4" w:space="4" w:color="auto"/>
          <w:bottom w:val="single" w:sz="4" w:space="1" w:color="auto"/>
          <w:right w:val="single" w:sz="4" w:space="4" w:color="auto"/>
        </w:pBdr>
        <w:jc w:val="center"/>
      </w:pPr>
      <w:r>
        <w:t>Akcje małych i dużych spółek a polityka pieniężna NBP</w:t>
      </w:r>
    </w:p>
    <w:p w:rsidR="00443EE2" w:rsidRDefault="00443EE2" w:rsidP="00443EE2">
      <w:pPr>
        <w:pStyle w:val="Bezodstpw"/>
        <w:jc w:val="both"/>
      </w:pPr>
    </w:p>
    <w:p w:rsidR="00443EE2" w:rsidRDefault="00443EE2" w:rsidP="00443EE2">
      <w:pPr>
        <w:pStyle w:val="Bezodstpw"/>
        <w:jc w:val="both"/>
      </w:pPr>
      <w:r>
        <w:t>Patrząc na perspektywy siły względnej WIG250/WIG20 (czyli zastanawiając się nad tym, czy w przyszłości lepiej będą się zachowywać akcje spółek małych czy akcje spółek dużych) warto odwołać się do pewn</w:t>
      </w:r>
      <w:r w:rsidR="00E93011">
        <w:t xml:space="preserve">ych argumentów fundamentalnych związanych z charakterem polskiej polityki pieniężnej. Na poniższym wykresie poziomą linią zaznaczono dzień rozpoczęcia (08.11.2012) obecnej fazy łagodzenia polityki pieniężnej przez RPP. </w:t>
      </w:r>
    </w:p>
    <w:p w:rsidR="00443EE2" w:rsidRDefault="00443EE2" w:rsidP="00443EE2">
      <w:pPr>
        <w:pStyle w:val="Bezodstpw"/>
        <w:jc w:val="both"/>
      </w:pPr>
    </w:p>
    <w:p w:rsidR="00E93011" w:rsidRDefault="00E93011" w:rsidP="00443EE2">
      <w:pPr>
        <w:pStyle w:val="Bezodstpw"/>
        <w:jc w:val="both"/>
      </w:pPr>
      <w:r>
        <w:rPr>
          <w:noProof/>
        </w:rPr>
        <w:drawing>
          <wp:inline distT="0" distB="0" distL="0" distR="0">
            <wp:extent cx="6038850" cy="3657600"/>
            <wp:effectExtent l="19050" t="0" r="0" b="0"/>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6038850" cy="3657600"/>
                    </a:xfrm>
                    <a:prstGeom prst="rect">
                      <a:avLst/>
                    </a:prstGeom>
                    <a:noFill/>
                  </pic:spPr>
                </pic:pic>
              </a:graphicData>
            </a:graphic>
          </wp:inline>
        </w:drawing>
      </w:r>
    </w:p>
    <w:p w:rsidR="00E93011" w:rsidRDefault="00E93011" w:rsidP="00443EE2">
      <w:pPr>
        <w:pStyle w:val="Bezodstpw"/>
        <w:jc w:val="both"/>
      </w:pPr>
    </w:p>
    <w:p w:rsidR="009122D6" w:rsidRDefault="00443EE2" w:rsidP="00443EE2">
      <w:pPr>
        <w:pStyle w:val="Bezodstpw"/>
        <w:jc w:val="both"/>
      </w:pPr>
      <w:r>
        <w:t xml:space="preserve">Nawiąże w tym momencie do </w:t>
      </w:r>
      <w:r w:rsidR="000F5D79">
        <w:t xml:space="preserve">ważnego </w:t>
      </w:r>
      <w:r>
        <w:t xml:space="preserve">artykułu, który opublikował obecny </w:t>
      </w:r>
      <w:r w:rsidRPr="00BB7939">
        <w:rPr>
          <w:b/>
          <w:color w:val="FF0000"/>
        </w:rPr>
        <w:t>dr hab. a ówczesny dr Eryk Łon</w:t>
      </w:r>
      <w:r>
        <w:t xml:space="preserve"> z Wydziału Ekonomii Uniwersytetu Ekonomicznego w Poznaniu </w:t>
      </w:r>
      <w:r w:rsidR="000F5D79">
        <w:t>(z</w:t>
      </w:r>
      <w:r w:rsidR="00D13E74">
        <w:t>w</w:t>
      </w:r>
      <w:r w:rsidR="000F5D79">
        <w:t xml:space="preserve">anym wtedy Akademią Ekonomiczną) </w:t>
      </w:r>
      <w:r>
        <w:t xml:space="preserve">na lamach </w:t>
      </w:r>
      <w:r w:rsidR="00343B92">
        <w:t xml:space="preserve">tygodnika </w:t>
      </w:r>
      <w:r>
        <w:t>,,Gazet</w:t>
      </w:r>
      <w:r w:rsidR="00343B92">
        <w:t>a</w:t>
      </w:r>
      <w:r>
        <w:t xml:space="preserve"> Bankow</w:t>
      </w:r>
      <w:r w:rsidR="00343B92">
        <w:t>a</w:t>
      </w:r>
      <w:r>
        <w:t>”</w:t>
      </w:r>
      <w:r w:rsidR="001E4AB5">
        <w:t xml:space="preserve"> w numerze 21 z 2006 roku.</w:t>
      </w:r>
      <w:r>
        <w:t xml:space="preserve"> </w:t>
      </w:r>
    </w:p>
    <w:p w:rsidR="009122D6" w:rsidRDefault="009122D6" w:rsidP="00443EE2">
      <w:pPr>
        <w:pStyle w:val="Bezodstpw"/>
        <w:jc w:val="both"/>
      </w:pPr>
    </w:p>
    <w:p w:rsidR="00443EE2" w:rsidRDefault="00443EE2" w:rsidP="00443EE2">
      <w:pPr>
        <w:pStyle w:val="Bezodstpw"/>
        <w:jc w:val="both"/>
      </w:pPr>
      <w:r>
        <w:t xml:space="preserve">Artykuł ten pod tytułem </w:t>
      </w:r>
      <w:r w:rsidRPr="00B95E5C">
        <w:rPr>
          <w:b/>
        </w:rPr>
        <w:t>,,</w:t>
      </w:r>
      <w:r w:rsidR="001E4AB5" w:rsidRPr="00B95E5C">
        <w:rPr>
          <w:b/>
        </w:rPr>
        <w:t>Premia małych spółek</w:t>
      </w:r>
      <w:r w:rsidRPr="00B95E5C">
        <w:rPr>
          <w:b/>
        </w:rPr>
        <w:t>”</w:t>
      </w:r>
      <w:r>
        <w:t xml:space="preserve"> porusza ważny problem związków pomiędzy polską polityką pieniężną a zachowaniem  indeksu małych spółek oraz indeksu spółek dużych. </w:t>
      </w:r>
    </w:p>
    <w:p w:rsidR="00443EE2" w:rsidRDefault="00443EE2" w:rsidP="00443EE2">
      <w:pPr>
        <w:pStyle w:val="Bezodstpw"/>
        <w:jc w:val="both"/>
      </w:pPr>
    </w:p>
    <w:p w:rsidR="00443EE2" w:rsidRDefault="00443EE2" w:rsidP="00443EE2">
      <w:pPr>
        <w:pStyle w:val="Bezodstpw"/>
        <w:jc w:val="both"/>
      </w:pPr>
      <w:r>
        <w:lastRenderedPageBreak/>
        <w:t xml:space="preserve">Kiedyś przez indeks małych spółek rozumiano WIRR, czyli indeks Warszawski Indeks Rynku Równoległego, </w:t>
      </w:r>
      <w:r w:rsidR="0031298C">
        <w:t xml:space="preserve">później sWIG80 </w:t>
      </w:r>
      <w:r>
        <w:t xml:space="preserve">a obecnie WIG250. </w:t>
      </w:r>
    </w:p>
    <w:p w:rsidR="00443EE2" w:rsidRDefault="00443EE2" w:rsidP="00443EE2">
      <w:pPr>
        <w:pStyle w:val="Bezodstpw"/>
        <w:jc w:val="both"/>
      </w:pPr>
    </w:p>
    <w:p w:rsidR="009122D6" w:rsidRDefault="00443EE2" w:rsidP="00443EE2">
      <w:pPr>
        <w:pStyle w:val="Bezodstpw"/>
        <w:jc w:val="both"/>
      </w:pPr>
      <w:r>
        <w:t xml:space="preserve">Autor wspomnianego artykułu posługuje się pojęciem ,,pierwszej obniżki” oraz ,,pierwszej podwyżki”. Przez ,,pierwszą obniżkę” rozumie </w:t>
      </w:r>
      <w:r w:rsidR="00343B92">
        <w:t>się</w:t>
      </w:r>
      <w:r>
        <w:t xml:space="preserve"> obniżkę stopy procentowej NBP następującą po podwyżce. </w:t>
      </w:r>
    </w:p>
    <w:p w:rsidR="009122D6" w:rsidRDefault="009122D6" w:rsidP="00443EE2">
      <w:pPr>
        <w:pStyle w:val="Bezodstpw"/>
        <w:jc w:val="both"/>
      </w:pPr>
    </w:p>
    <w:p w:rsidR="00443EE2" w:rsidRDefault="00443EE2" w:rsidP="00443EE2">
      <w:pPr>
        <w:pStyle w:val="Bezodstpw"/>
        <w:jc w:val="both"/>
      </w:pPr>
      <w:r>
        <w:t xml:space="preserve">Z kolei przez ,,pierwszą podwyżkę” rozumieć należy podwyżkę stopy procentowej NBP następującą po obniżce. </w:t>
      </w:r>
    </w:p>
    <w:p w:rsidR="00443EE2" w:rsidRDefault="00443EE2" w:rsidP="00443EE2">
      <w:pPr>
        <w:pStyle w:val="Bezodstpw"/>
        <w:jc w:val="both"/>
      </w:pPr>
    </w:p>
    <w:p w:rsidR="00443EE2" w:rsidRDefault="00443EE2" w:rsidP="00443EE2">
      <w:pPr>
        <w:pStyle w:val="Bezodstpw"/>
        <w:jc w:val="both"/>
      </w:pPr>
      <w:r>
        <w:t xml:space="preserve">Dr Eryk Łon (obecnie dr hab.) wskazał wówczas w </w:t>
      </w:r>
      <w:r w:rsidR="00343B92">
        <w:t>swoim</w:t>
      </w:r>
      <w:r>
        <w:t xml:space="preserve"> artykule, że okresie pomiędzy dniem ,,pierwszej obniżki” a dniem bezpośrednio poprzedzającym ,,pierwszą podwyżkę” panują łagodne uwarunkowania monetarne. Z kolei w okresie pomiędzy dniem ,,pierwszej podwyżki” a dniem bezpośrednio poprzedzającym ,,pierwszą obniżkę” panują restrykcyjne uwarunkowania monetarne. </w:t>
      </w:r>
    </w:p>
    <w:p w:rsidR="00443EE2" w:rsidRDefault="00443EE2" w:rsidP="00443EE2">
      <w:pPr>
        <w:pStyle w:val="Bezodstpw"/>
        <w:jc w:val="both"/>
      </w:pPr>
    </w:p>
    <w:p w:rsidR="00443EE2" w:rsidRPr="00BB7939" w:rsidRDefault="00343B92" w:rsidP="00443EE2">
      <w:pPr>
        <w:pStyle w:val="Bezodstpw"/>
        <w:jc w:val="both"/>
        <w:rPr>
          <w:b/>
          <w:color w:val="FF0000"/>
        </w:rPr>
      </w:pPr>
      <w:r>
        <w:t>Autor powyższego artykułu doszedł do wniosku</w:t>
      </w:r>
      <w:r w:rsidR="00443EE2">
        <w:t xml:space="preserve"> że generalnie rzecz biorąc </w:t>
      </w:r>
      <w:r w:rsidR="00443EE2" w:rsidRPr="00BB7939">
        <w:rPr>
          <w:b/>
          <w:color w:val="FF0000"/>
        </w:rPr>
        <w:t xml:space="preserve">okres łagodnych uwarunkowań monetarnych jest </w:t>
      </w:r>
      <w:r>
        <w:rPr>
          <w:b/>
          <w:color w:val="FF0000"/>
        </w:rPr>
        <w:t xml:space="preserve">z reguły </w:t>
      </w:r>
      <w:r w:rsidR="00443EE2" w:rsidRPr="00BB7939">
        <w:rPr>
          <w:b/>
          <w:color w:val="FF0000"/>
        </w:rPr>
        <w:t xml:space="preserve">lepszy dla indeksu małych spółek a okres uwarunkowań restrykcyjnych lepszy zazwyczaj jest dla indeksu spółek dużych. </w:t>
      </w:r>
    </w:p>
    <w:p w:rsidR="00443EE2" w:rsidRDefault="00443EE2" w:rsidP="00443EE2">
      <w:pPr>
        <w:pStyle w:val="Bezodstpw"/>
        <w:jc w:val="both"/>
      </w:pPr>
    </w:p>
    <w:p w:rsidR="00CC54A6" w:rsidRDefault="00443EE2" w:rsidP="00443EE2">
      <w:pPr>
        <w:pStyle w:val="Bezodstpw"/>
        <w:jc w:val="both"/>
      </w:pPr>
      <w:r>
        <w:t>Od 8 listopad 2012 roku mamy w naszym kraju z fazą łagodnych uwarunkowań monetarnych. Co więcej w ostatnim czasie pojawiły się op</w:t>
      </w:r>
      <w:r w:rsidR="00025A6E">
        <w:t>inie</w:t>
      </w:r>
      <w:r>
        <w:t xml:space="preserve"> członków Rady Polityki Pieniężnej o potrzebie kolejnych obniżek stóp procentowych. </w:t>
      </w:r>
    </w:p>
    <w:p w:rsidR="00CC54A6" w:rsidRDefault="00CC54A6" w:rsidP="00443EE2">
      <w:pPr>
        <w:pStyle w:val="Bezodstpw"/>
        <w:jc w:val="both"/>
      </w:pPr>
    </w:p>
    <w:p w:rsidR="00443EE2" w:rsidRDefault="00BB7939" w:rsidP="00443EE2">
      <w:pPr>
        <w:pStyle w:val="Bezodstpw"/>
        <w:jc w:val="both"/>
      </w:pPr>
      <w:r>
        <w:t>Perspektywa obniżania</w:t>
      </w:r>
      <w:r w:rsidR="00443EE2">
        <w:t xml:space="preserve"> stop procentowych </w:t>
      </w:r>
      <w:r>
        <w:t xml:space="preserve">przez RPP </w:t>
      </w:r>
      <w:r w:rsidR="00443EE2">
        <w:t xml:space="preserve">powinno generalnie rzecz biorąc </w:t>
      </w:r>
      <w:r w:rsidR="00FC405B">
        <w:t xml:space="preserve">podwyższyć </w:t>
      </w:r>
      <w:r w:rsidR="00443EE2">
        <w:t xml:space="preserve">skłonność do podejmowania ryzyka zwiększając tym samym skłonność uczestników polskiego rynku akcji do preferowania aktywów bardziej ryzykownych (akcji małych spółek) kosztem aktywów mniej ryzykownych (akcji spółek dużych). </w:t>
      </w:r>
    </w:p>
    <w:p w:rsidR="00443EE2" w:rsidRDefault="00443EE2" w:rsidP="00443EE2">
      <w:pPr>
        <w:pStyle w:val="Bezodstpw"/>
        <w:jc w:val="both"/>
      </w:pPr>
    </w:p>
    <w:p w:rsidR="00443EE2" w:rsidRDefault="00443EE2" w:rsidP="00443EE2">
      <w:pPr>
        <w:pStyle w:val="Bezodstpw"/>
        <w:pBdr>
          <w:top w:val="single" w:sz="4" w:space="1" w:color="auto"/>
          <w:left w:val="single" w:sz="4" w:space="4" w:color="auto"/>
          <w:bottom w:val="single" w:sz="4" w:space="1" w:color="auto"/>
          <w:right w:val="single" w:sz="4" w:space="4" w:color="auto"/>
        </w:pBdr>
        <w:jc w:val="center"/>
      </w:pPr>
      <w:r>
        <w:t>Wykres do przemyślenia</w:t>
      </w:r>
      <w:r w:rsidR="00EF7AB8">
        <w:t xml:space="preserve"> – refleksje </w:t>
      </w:r>
    </w:p>
    <w:p w:rsidR="00443EE2" w:rsidRDefault="00443EE2" w:rsidP="00443EE2">
      <w:pPr>
        <w:pStyle w:val="Bezodstpw"/>
        <w:jc w:val="both"/>
      </w:pPr>
    </w:p>
    <w:p w:rsidR="00443EE2" w:rsidRDefault="00443EE2" w:rsidP="00443EE2">
      <w:pPr>
        <w:pStyle w:val="Bezodstpw"/>
        <w:jc w:val="both"/>
      </w:pPr>
      <w:r>
        <w:t xml:space="preserve">W pierwszym numerze ,,Raportu Tygodniowego” z 8 września 2014 roku pojawiły się wykresy akcji czterech spółek. Były to wykresy akcji następujących spółek: </w:t>
      </w:r>
    </w:p>
    <w:p w:rsidR="00443EE2" w:rsidRDefault="00443EE2" w:rsidP="00443EE2">
      <w:pPr>
        <w:pStyle w:val="Bezodstpw"/>
        <w:jc w:val="both"/>
      </w:pPr>
    </w:p>
    <w:p w:rsidR="00443EE2" w:rsidRDefault="00443EE2" w:rsidP="00443EE2">
      <w:pPr>
        <w:pStyle w:val="Bezodstpw"/>
        <w:numPr>
          <w:ilvl w:val="0"/>
          <w:numId w:val="1"/>
        </w:numPr>
        <w:jc w:val="both"/>
      </w:pPr>
      <w:proofErr w:type="spellStart"/>
      <w:r>
        <w:t>Immobile</w:t>
      </w:r>
      <w:proofErr w:type="spellEnd"/>
    </w:p>
    <w:p w:rsidR="00443EE2" w:rsidRDefault="00443EE2" w:rsidP="00443EE2">
      <w:pPr>
        <w:pStyle w:val="Bezodstpw"/>
        <w:numPr>
          <w:ilvl w:val="0"/>
          <w:numId w:val="1"/>
        </w:numPr>
        <w:jc w:val="both"/>
      </w:pPr>
      <w:r>
        <w:t>Lena</w:t>
      </w:r>
    </w:p>
    <w:p w:rsidR="00443EE2" w:rsidRDefault="00443EE2" w:rsidP="00443EE2">
      <w:pPr>
        <w:pStyle w:val="Bezodstpw"/>
        <w:numPr>
          <w:ilvl w:val="0"/>
          <w:numId w:val="1"/>
        </w:numPr>
        <w:jc w:val="both"/>
      </w:pPr>
      <w:proofErr w:type="spellStart"/>
      <w:r>
        <w:t>Netmedia</w:t>
      </w:r>
      <w:proofErr w:type="spellEnd"/>
      <w:r>
        <w:t xml:space="preserve"> </w:t>
      </w:r>
    </w:p>
    <w:p w:rsidR="00443EE2" w:rsidRDefault="00443EE2" w:rsidP="00443EE2">
      <w:pPr>
        <w:pStyle w:val="Bezodstpw"/>
        <w:numPr>
          <w:ilvl w:val="0"/>
          <w:numId w:val="1"/>
        </w:numPr>
        <w:jc w:val="both"/>
      </w:pPr>
      <w:r>
        <w:t>Rafako</w:t>
      </w:r>
    </w:p>
    <w:p w:rsidR="00443EE2" w:rsidRDefault="00443EE2" w:rsidP="00443EE2">
      <w:pPr>
        <w:pStyle w:val="Bezodstpw"/>
        <w:jc w:val="both"/>
      </w:pPr>
    </w:p>
    <w:p w:rsidR="00443EE2" w:rsidRDefault="00443EE2" w:rsidP="00443EE2">
      <w:pPr>
        <w:pStyle w:val="Bezodstpw"/>
        <w:jc w:val="both"/>
      </w:pPr>
      <w:r>
        <w:t xml:space="preserve">Kryterium pojawienia się wykresu akcji danej spółki w tej rubryce jest </w:t>
      </w:r>
      <w:r w:rsidRPr="0053119C">
        <w:rPr>
          <w:b/>
        </w:rPr>
        <w:t>wybicie z formacji podwójnego dna</w:t>
      </w:r>
      <w:r>
        <w:t xml:space="preserve">. </w:t>
      </w:r>
    </w:p>
    <w:p w:rsidR="00443EE2" w:rsidRDefault="00443EE2" w:rsidP="00443EE2">
      <w:pPr>
        <w:pStyle w:val="Bezodstpw"/>
        <w:jc w:val="both"/>
      </w:pPr>
    </w:p>
    <w:p w:rsidR="00443EE2" w:rsidRDefault="00443EE2" w:rsidP="00443EE2">
      <w:pPr>
        <w:pStyle w:val="Bezodstpw"/>
        <w:jc w:val="both"/>
      </w:pPr>
      <w:r>
        <w:t xml:space="preserve">Uważam tą formację za szczególnie cenną z punktu widzenia analizy zmian trendu spadkowego na wzrosty. </w:t>
      </w:r>
    </w:p>
    <w:p w:rsidR="00443EE2" w:rsidRDefault="00443EE2" w:rsidP="00443EE2">
      <w:pPr>
        <w:pStyle w:val="Bezodstpw"/>
        <w:jc w:val="both"/>
      </w:pPr>
    </w:p>
    <w:p w:rsidR="00443EE2" w:rsidRPr="0053119C" w:rsidRDefault="00443EE2" w:rsidP="00443EE2">
      <w:pPr>
        <w:pStyle w:val="Bezodstpw"/>
        <w:jc w:val="both"/>
        <w:rPr>
          <w:b/>
        </w:rPr>
      </w:pPr>
      <w:r>
        <w:t xml:space="preserve">Można zauważyć, że formacja ta może kształtować się </w:t>
      </w:r>
      <w:r>
        <w:rPr>
          <w:b/>
        </w:rPr>
        <w:t>w bardzo r</w:t>
      </w:r>
      <w:r w:rsidR="00343B92">
        <w:rPr>
          <w:b/>
        </w:rPr>
        <w:t>óżnym</w:t>
      </w:r>
      <w:r w:rsidRPr="0053119C">
        <w:rPr>
          <w:b/>
        </w:rPr>
        <w:t xml:space="preserve"> horyzoncie czasowym, przez kilka minut, godzin, dni, tygodni, miesięcy a nawet lat. </w:t>
      </w:r>
    </w:p>
    <w:p w:rsidR="00443EE2" w:rsidRDefault="00443EE2" w:rsidP="00443EE2">
      <w:pPr>
        <w:pStyle w:val="Bezodstpw"/>
        <w:jc w:val="both"/>
      </w:pPr>
    </w:p>
    <w:p w:rsidR="00443EE2" w:rsidRDefault="00443EE2" w:rsidP="00443EE2">
      <w:pPr>
        <w:pStyle w:val="Bezodstpw"/>
        <w:jc w:val="both"/>
      </w:pPr>
      <w:r>
        <w:t xml:space="preserve">,,Zadaniem” formacji podwójnego dna jest doprowadzenie do wzrostów kursów akcji. Czasami do tego dochodzi, czasami nie. </w:t>
      </w:r>
    </w:p>
    <w:p w:rsidR="00443EE2" w:rsidRDefault="00443EE2" w:rsidP="00443EE2">
      <w:pPr>
        <w:pStyle w:val="Bezodstpw"/>
        <w:jc w:val="both"/>
      </w:pPr>
    </w:p>
    <w:p w:rsidR="00443EE2" w:rsidRDefault="00443EE2" w:rsidP="00443EE2">
      <w:pPr>
        <w:pStyle w:val="Bezodstpw"/>
        <w:jc w:val="both"/>
      </w:pPr>
      <w:r>
        <w:lastRenderedPageBreak/>
        <w:t xml:space="preserve">Tabela: Procentowa zmiana cen akcji czterech spółek, których akcje zostały wymienione w pierwszym numerze ,,Raportu Tygodniowego” z 8 września 2014 roku w rubryce ,,Wykres do przemyślenia” w okresie od 5 do 19 września 2014 roku oraz procentowa zmiana indeksu WIG 20 w tym okresie. </w:t>
      </w:r>
    </w:p>
    <w:p w:rsidR="00443EE2" w:rsidRDefault="00443EE2" w:rsidP="00443EE2">
      <w:pPr>
        <w:pStyle w:val="Bezodstpw"/>
        <w:jc w:val="both"/>
      </w:pPr>
    </w:p>
    <w:tbl>
      <w:tblPr>
        <w:tblStyle w:val="Tabela-Siatka"/>
        <w:tblW w:w="0" w:type="auto"/>
        <w:tblLook w:val="04A0"/>
      </w:tblPr>
      <w:tblGrid>
        <w:gridCol w:w="2302"/>
        <w:gridCol w:w="2302"/>
        <w:gridCol w:w="2303"/>
        <w:gridCol w:w="2303"/>
      </w:tblGrid>
      <w:tr w:rsidR="00443EE2" w:rsidTr="00EF7AB8">
        <w:tc>
          <w:tcPr>
            <w:tcW w:w="2302" w:type="dxa"/>
          </w:tcPr>
          <w:p w:rsidR="00443EE2" w:rsidRDefault="00443EE2" w:rsidP="00EF7AB8">
            <w:pPr>
              <w:pStyle w:val="Bezodstpw"/>
              <w:jc w:val="center"/>
            </w:pPr>
            <w:r>
              <w:t>Instrument finansowy</w:t>
            </w:r>
          </w:p>
        </w:tc>
        <w:tc>
          <w:tcPr>
            <w:tcW w:w="2302" w:type="dxa"/>
          </w:tcPr>
          <w:p w:rsidR="00443EE2" w:rsidRDefault="00443EE2" w:rsidP="00EF7AB8">
            <w:pPr>
              <w:pStyle w:val="Bezodstpw"/>
              <w:jc w:val="center"/>
            </w:pPr>
            <w:r>
              <w:t>Poziom – 05.09.2014</w:t>
            </w:r>
          </w:p>
        </w:tc>
        <w:tc>
          <w:tcPr>
            <w:tcW w:w="2303" w:type="dxa"/>
          </w:tcPr>
          <w:p w:rsidR="00443EE2" w:rsidRDefault="00443EE2" w:rsidP="00EF7AB8">
            <w:pPr>
              <w:pStyle w:val="Bezodstpw"/>
              <w:jc w:val="center"/>
            </w:pPr>
            <w:r>
              <w:t>Poziom – 19.09.2014</w:t>
            </w:r>
          </w:p>
        </w:tc>
        <w:tc>
          <w:tcPr>
            <w:tcW w:w="2303" w:type="dxa"/>
          </w:tcPr>
          <w:p w:rsidR="00443EE2" w:rsidRDefault="00443EE2" w:rsidP="00EF7AB8">
            <w:pPr>
              <w:pStyle w:val="Bezodstpw"/>
              <w:jc w:val="center"/>
            </w:pPr>
            <w:r>
              <w:t>Zmiana (w %)</w:t>
            </w:r>
          </w:p>
        </w:tc>
      </w:tr>
      <w:tr w:rsidR="00443EE2" w:rsidTr="00EF7AB8">
        <w:tc>
          <w:tcPr>
            <w:tcW w:w="2302" w:type="dxa"/>
          </w:tcPr>
          <w:p w:rsidR="00443EE2" w:rsidRDefault="00443EE2" w:rsidP="00EF7AB8">
            <w:pPr>
              <w:pStyle w:val="Bezodstpw"/>
              <w:jc w:val="center"/>
            </w:pPr>
            <w:r>
              <w:t xml:space="preserve">Akcja spółki </w:t>
            </w:r>
            <w:proofErr w:type="spellStart"/>
            <w:r>
              <w:t>Immobile</w:t>
            </w:r>
            <w:proofErr w:type="spellEnd"/>
          </w:p>
        </w:tc>
        <w:tc>
          <w:tcPr>
            <w:tcW w:w="2302" w:type="dxa"/>
          </w:tcPr>
          <w:p w:rsidR="00443EE2" w:rsidRDefault="00443EE2" w:rsidP="00EF7AB8">
            <w:pPr>
              <w:pStyle w:val="Bezodstpw"/>
              <w:jc w:val="center"/>
            </w:pPr>
            <w:r>
              <w:t>2,04 zł.</w:t>
            </w:r>
          </w:p>
        </w:tc>
        <w:tc>
          <w:tcPr>
            <w:tcW w:w="2303" w:type="dxa"/>
          </w:tcPr>
          <w:p w:rsidR="00443EE2" w:rsidRDefault="00443EE2" w:rsidP="00EF7AB8">
            <w:pPr>
              <w:pStyle w:val="Bezodstpw"/>
              <w:jc w:val="center"/>
            </w:pPr>
            <w:r>
              <w:t xml:space="preserve">2,27 zł. </w:t>
            </w:r>
          </w:p>
        </w:tc>
        <w:tc>
          <w:tcPr>
            <w:tcW w:w="2303" w:type="dxa"/>
          </w:tcPr>
          <w:p w:rsidR="00443EE2" w:rsidRDefault="00443EE2" w:rsidP="00EF7AB8">
            <w:pPr>
              <w:pStyle w:val="Bezodstpw"/>
              <w:jc w:val="center"/>
            </w:pPr>
            <w:r>
              <w:t xml:space="preserve"> +11,3 %</w:t>
            </w:r>
          </w:p>
        </w:tc>
      </w:tr>
      <w:tr w:rsidR="00443EE2" w:rsidTr="00EF7AB8">
        <w:tc>
          <w:tcPr>
            <w:tcW w:w="2302" w:type="dxa"/>
          </w:tcPr>
          <w:p w:rsidR="00443EE2" w:rsidRDefault="00443EE2" w:rsidP="00EF7AB8">
            <w:pPr>
              <w:pStyle w:val="Bezodstpw"/>
              <w:jc w:val="center"/>
            </w:pPr>
            <w:r>
              <w:t>Akcja spółki Lena</w:t>
            </w:r>
          </w:p>
        </w:tc>
        <w:tc>
          <w:tcPr>
            <w:tcW w:w="2302" w:type="dxa"/>
          </w:tcPr>
          <w:p w:rsidR="00443EE2" w:rsidRDefault="00443EE2" w:rsidP="00EF7AB8">
            <w:pPr>
              <w:pStyle w:val="Bezodstpw"/>
              <w:jc w:val="center"/>
            </w:pPr>
            <w:r>
              <w:t xml:space="preserve">3,99 zł. </w:t>
            </w:r>
          </w:p>
        </w:tc>
        <w:tc>
          <w:tcPr>
            <w:tcW w:w="2303" w:type="dxa"/>
          </w:tcPr>
          <w:p w:rsidR="00443EE2" w:rsidRDefault="00443EE2" w:rsidP="00EF7AB8">
            <w:pPr>
              <w:pStyle w:val="Bezodstpw"/>
              <w:jc w:val="center"/>
            </w:pPr>
            <w:r>
              <w:t xml:space="preserve">3,90 zł. </w:t>
            </w:r>
          </w:p>
        </w:tc>
        <w:tc>
          <w:tcPr>
            <w:tcW w:w="2303" w:type="dxa"/>
          </w:tcPr>
          <w:p w:rsidR="00443EE2" w:rsidRDefault="00443EE2" w:rsidP="00EF7AB8">
            <w:pPr>
              <w:pStyle w:val="Bezodstpw"/>
              <w:jc w:val="center"/>
            </w:pPr>
            <w:r>
              <w:t xml:space="preserve">  -2,3 %</w:t>
            </w:r>
          </w:p>
        </w:tc>
      </w:tr>
      <w:tr w:rsidR="00443EE2" w:rsidTr="00EF7AB8">
        <w:tc>
          <w:tcPr>
            <w:tcW w:w="2302" w:type="dxa"/>
          </w:tcPr>
          <w:p w:rsidR="00443EE2" w:rsidRDefault="00443EE2" w:rsidP="00EF7AB8">
            <w:pPr>
              <w:pStyle w:val="Bezodstpw"/>
              <w:jc w:val="center"/>
            </w:pPr>
            <w:r>
              <w:t xml:space="preserve">Akcja spółki  </w:t>
            </w:r>
            <w:proofErr w:type="spellStart"/>
            <w:r>
              <w:t>Netmedia</w:t>
            </w:r>
            <w:proofErr w:type="spellEnd"/>
          </w:p>
        </w:tc>
        <w:tc>
          <w:tcPr>
            <w:tcW w:w="2302" w:type="dxa"/>
          </w:tcPr>
          <w:p w:rsidR="00443EE2" w:rsidRDefault="00443EE2" w:rsidP="00EF7AB8">
            <w:pPr>
              <w:pStyle w:val="Bezodstpw"/>
              <w:jc w:val="center"/>
            </w:pPr>
            <w:r>
              <w:t xml:space="preserve">3,63 zł. </w:t>
            </w:r>
          </w:p>
        </w:tc>
        <w:tc>
          <w:tcPr>
            <w:tcW w:w="2303" w:type="dxa"/>
          </w:tcPr>
          <w:p w:rsidR="00443EE2" w:rsidRDefault="00443EE2" w:rsidP="00EF7AB8">
            <w:pPr>
              <w:pStyle w:val="Bezodstpw"/>
              <w:jc w:val="center"/>
            </w:pPr>
            <w:r>
              <w:t xml:space="preserve">3,53 zł. </w:t>
            </w:r>
          </w:p>
        </w:tc>
        <w:tc>
          <w:tcPr>
            <w:tcW w:w="2303" w:type="dxa"/>
          </w:tcPr>
          <w:p w:rsidR="00443EE2" w:rsidRDefault="00443EE2" w:rsidP="00EF7AB8">
            <w:pPr>
              <w:pStyle w:val="Bezodstpw"/>
              <w:jc w:val="center"/>
            </w:pPr>
            <w:r>
              <w:t xml:space="preserve">  -2,8 %</w:t>
            </w:r>
          </w:p>
        </w:tc>
      </w:tr>
      <w:tr w:rsidR="00443EE2" w:rsidTr="00EF7AB8">
        <w:tc>
          <w:tcPr>
            <w:tcW w:w="2302" w:type="dxa"/>
          </w:tcPr>
          <w:p w:rsidR="00443EE2" w:rsidRDefault="00443EE2" w:rsidP="00EF7AB8">
            <w:pPr>
              <w:pStyle w:val="Bezodstpw"/>
              <w:jc w:val="center"/>
            </w:pPr>
            <w:r>
              <w:t>Akcja spółki Rafako</w:t>
            </w:r>
          </w:p>
        </w:tc>
        <w:tc>
          <w:tcPr>
            <w:tcW w:w="2302" w:type="dxa"/>
            <w:tcBorders>
              <w:bottom w:val="single" w:sz="4" w:space="0" w:color="auto"/>
            </w:tcBorders>
          </w:tcPr>
          <w:p w:rsidR="00443EE2" w:rsidRDefault="00443EE2" w:rsidP="00EF7AB8">
            <w:pPr>
              <w:pStyle w:val="Bezodstpw"/>
              <w:jc w:val="center"/>
            </w:pPr>
            <w:r>
              <w:t xml:space="preserve">4,25 zł. </w:t>
            </w:r>
          </w:p>
        </w:tc>
        <w:tc>
          <w:tcPr>
            <w:tcW w:w="2303" w:type="dxa"/>
            <w:tcBorders>
              <w:bottom w:val="single" w:sz="4" w:space="0" w:color="auto"/>
            </w:tcBorders>
          </w:tcPr>
          <w:p w:rsidR="00443EE2" w:rsidRDefault="00443EE2" w:rsidP="00EF7AB8">
            <w:pPr>
              <w:pStyle w:val="Bezodstpw"/>
              <w:jc w:val="center"/>
            </w:pPr>
            <w:r>
              <w:t xml:space="preserve">5,30 zł. </w:t>
            </w:r>
          </w:p>
        </w:tc>
        <w:tc>
          <w:tcPr>
            <w:tcW w:w="2303" w:type="dxa"/>
          </w:tcPr>
          <w:p w:rsidR="00443EE2" w:rsidRDefault="00443EE2" w:rsidP="00EF7AB8">
            <w:pPr>
              <w:pStyle w:val="Bezodstpw"/>
              <w:jc w:val="center"/>
            </w:pPr>
            <w:r>
              <w:t>+24,7 %</w:t>
            </w:r>
          </w:p>
        </w:tc>
      </w:tr>
      <w:tr w:rsidR="00443EE2" w:rsidTr="00EF7AB8">
        <w:tc>
          <w:tcPr>
            <w:tcW w:w="2302" w:type="dxa"/>
          </w:tcPr>
          <w:p w:rsidR="00443EE2" w:rsidRPr="008F668F" w:rsidRDefault="00443EE2" w:rsidP="00EF7AB8">
            <w:pPr>
              <w:pStyle w:val="Bezodstpw"/>
              <w:jc w:val="center"/>
              <w:rPr>
                <w:b/>
                <w:color w:val="FF0000"/>
              </w:rPr>
            </w:pPr>
            <w:r w:rsidRPr="008F668F">
              <w:rPr>
                <w:b/>
                <w:color w:val="FF0000"/>
              </w:rPr>
              <w:t>Średnio</w:t>
            </w:r>
          </w:p>
        </w:tc>
        <w:tc>
          <w:tcPr>
            <w:tcW w:w="2302" w:type="dxa"/>
            <w:tcBorders>
              <w:right w:val="nil"/>
            </w:tcBorders>
          </w:tcPr>
          <w:p w:rsidR="00443EE2" w:rsidRPr="008F668F" w:rsidRDefault="00443EE2" w:rsidP="00EF7AB8">
            <w:pPr>
              <w:pStyle w:val="Bezodstpw"/>
              <w:jc w:val="center"/>
              <w:rPr>
                <w:b/>
                <w:color w:val="FF0000"/>
              </w:rPr>
            </w:pPr>
          </w:p>
        </w:tc>
        <w:tc>
          <w:tcPr>
            <w:tcW w:w="2303" w:type="dxa"/>
            <w:tcBorders>
              <w:left w:val="nil"/>
            </w:tcBorders>
          </w:tcPr>
          <w:p w:rsidR="00443EE2" w:rsidRPr="008F668F" w:rsidRDefault="00443EE2" w:rsidP="00EF7AB8">
            <w:pPr>
              <w:pStyle w:val="Bezodstpw"/>
              <w:jc w:val="center"/>
              <w:rPr>
                <w:b/>
                <w:color w:val="FF0000"/>
              </w:rPr>
            </w:pPr>
          </w:p>
        </w:tc>
        <w:tc>
          <w:tcPr>
            <w:tcW w:w="2303" w:type="dxa"/>
          </w:tcPr>
          <w:p w:rsidR="00443EE2" w:rsidRPr="008F668F" w:rsidRDefault="00443EE2" w:rsidP="00EF7AB8">
            <w:pPr>
              <w:pStyle w:val="Bezodstpw"/>
              <w:jc w:val="center"/>
              <w:rPr>
                <w:b/>
                <w:color w:val="FF0000"/>
              </w:rPr>
            </w:pPr>
            <w:r w:rsidRPr="008F668F">
              <w:rPr>
                <w:b/>
                <w:color w:val="FF0000"/>
              </w:rPr>
              <w:t xml:space="preserve"> + </w:t>
            </w:r>
            <w:r>
              <w:rPr>
                <w:b/>
                <w:color w:val="FF0000"/>
              </w:rPr>
              <w:t>7</w:t>
            </w:r>
            <w:r w:rsidRPr="008F668F">
              <w:rPr>
                <w:b/>
                <w:color w:val="FF0000"/>
              </w:rPr>
              <w:t>,1 %</w:t>
            </w:r>
          </w:p>
        </w:tc>
      </w:tr>
      <w:tr w:rsidR="00443EE2" w:rsidTr="00EF7AB8">
        <w:tc>
          <w:tcPr>
            <w:tcW w:w="2302" w:type="dxa"/>
          </w:tcPr>
          <w:p w:rsidR="00443EE2" w:rsidRDefault="00443EE2" w:rsidP="00EF7AB8">
            <w:pPr>
              <w:pStyle w:val="Bezodstpw"/>
              <w:jc w:val="center"/>
            </w:pPr>
            <w:r>
              <w:t>WIG 20</w:t>
            </w:r>
          </w:p>
        </w:tc>
        <w:tc>
          <w:tcPr>
            <w:tcW w:w="2302" w:type="dxa"/>
          </w:tcPr>
          <w:p w:rsidR="00443EE2" w:rsidRDefault="00443EE2" w:rsidP="00EF7AB8">
            <w:pPr>
              <w:pStyle w:val="Bezodstpw"/>
              <w:jc w:val="center"/>
            </w:pPr>
            <w:r>
              <w:t xml:space="preserve">2 541,42 pkt. </w:t>
            </w:r>
          </w:p>
        </w:tc>
        <w:tc>
          <w:tcPr>
            <w:tcW w:w="2303" w:type="dxa"/>
          </w:tcPr>
          <w:p w:rsidR="00443EE2" w:rsidRDefault="00443EE2" w:rsidP="00EF7AB8">
            <w:pPr>
              <w:pStyle w:val="Bezodstpw"/>
              <w:jc w:val="center"/>
            </w:pPr>
            <w:r>
              <w:t>2539,60 pkt.</w:t>
            </w:r>
          </w:p>
        </w:tc>
        <w:tc>
          <w:tcPr>
            <w:tcW w:w="2303" w:type="dxa"/>
          </w:tcPr>
          <w:p w:rsidR="00443EE2" w:rsidRDefault="00443EE2" w:rsidP="00EF7AB8">
            <w:pPr>
              <w:pStyle w:val="Bezodstpw"/>
              <w:jc w:val="center"/>
            </w:pPr>
            <w:r>
              <w:t xml:space="preserve">   -0,1 %</w:t>
            </w:r>
          </w:p>
        </w:tc>
      </w:tr>
    </w:tbl>
    <w:p w:rsidR="00443EE2" w:rsidRDefault="00443EE2" w:rsidP="00443EE2">
      <w:pPr>
        <w:pStyle w:val="Bezodstpw"/>
        <w:jc w:val="both"/>
      </w:pPr>
    </w:p>
    <w:p w:rsidR="00443EE2" w:rsidRDefault="00443EE2" w:rsidP="00443EE2">
      <w:pPr>
        <w:pStyle w:val="Bezodstpw"/>
        <w:jc w:val="both"/>
      </w:pPr>
      <w:r>
        <w:t xml:space="preserve">Tabela: Procentowa zmiana ceny akcji spółki, której akcje zostały wymienione w drugim numerze ,,Raportu Tygodniowego” z 15 września 2014 roku w rubryce ,,Wykres do przemyślenia” w okresie od 12 do 19 września 2014 roku oraz procentowa zmiana indeksu WIG 20 w tym okresie. </w:t>
      </w:r>
    </w:p>
    <w:p w:rsidR="00443EE2" w:rsidRDefault="00443EE2" w:rsidP="00443EE2">
      <w:pPr>
        <w:pStyle w:val="Bezodstpw"/>
        <w:jc w:val="both"/>
      </w:pPr>
    </w:p>
    <w:tbl>
      <w:tblPr>
        <w:tblStyle w:val="Tabela-Siatka"/>
        <w:tblW w:w="0" w:type="auto"/>
        <w:tblLook w:val="04A0"/>
      </w:tblPr>
      <w:tblGrid>
        <w:gridCol w:w="2302"/>
        <w:gridCol w:w="2302"/>
        <w:gridCol w:w="2303"/>
        <w:gridCol w:w="2303"/>
      </w:tblGrid>
      <w:tr w:rsidR="00443EE2" w:rsidTr="00EF7AB8">
        <w:tc>
          <w:tcPr>
            <w:tcW w:w="2302" w:type="dxa"/>
          </w:tcPr>
          <w:p w:rsidR="00443EE2" w:rsidRDefault="00443EE2" w:rsidP="00EF7AB8">
            <w:pPr>
              <w:pStyle w:val="Bezodstpw"/>
              <w:jc w:val="center"/>
            </w:pPr>
            <w:r>
              <w:t>Instrument finansowy</w:t>
            </w:r>
          </w:p>
        </w:tc>
        <w:tc>
          <w:tcPr>
            <w:tcW w:w="2302" w:type="dxa"/>
          </w:tcPr>
          <w:p w:rsidR="00443EE2" w:rsidRDefault="00443EE2" w:rsidP="00EF7AB8">
            <w:pPr>
              <w:pStyle w:val="Bezodstpw"/>
              <w:jc w:val="center"/>
            </w:pPr>
            <w:r>
              <w:t>Poziom – 12.09.2014</w:t>
            </w:r>
          </w:p>
        </w:tc>
        <w:tc>
          <w:tcPr>
            <w:tcW w:w="2303" w:type="dxa"/>
          </w:tcPr>
          <w:p w:rsidR="00443EE2" w:rsidRDefault="00443EE2" w:rsidP="00EF7AB8">
            <w:pPr>
              <w:pStyle w:val="Bezodstpw"/>
              <w:jc w:val="center"/>
            </w:pPr>
            <w:r>
              <w:t>Poziom – 19.09.2014</w:t>
            </w:r>
          </w:p>
        </w:tc>
        <w:tc>
          <w:tcPr>
            <w:tcW w:w="2303" w:type="dxa"/>
          </w:tcPr>
          <w:p w:rsidR="00443EE2" w:rsidRDefault="00443EE2" w:rsidP="00EF7AB8">
            <w:pPr>
              <w:pStyle w:val="Bezodstpw"/>
              <w:jc w:val="center"/>
            </w:pPr>
            <w:r>
              <w:t>Zmiana (w %)</w:t>
            </w:r>
          </w:p>
        </w:tc>
      </w:tr>
      <w:tr w:rsidR="00443EE2" w:rsidTr="00EF7AB8">
        <w:tc>
          <w:tcPr>
            <w:tcW w:w="2302" w:type="dxa"/>
          </w:tcPr>
          <w:p w:rsidR="00443EE2" w:rsidRDefault="00443EE2" w:rsidP="00EF7AB8">
            <w:pPr>
              <w:pStyle w:val="Bezodstpw"/>
              <w:jc w:val="center"/>
            </w:pPr>
            <w:r>
              <w:t>Akcja spółki Boryszew</w:t>
            </w:r>
          </w:p>
        </w:tc>
        <w:tc>
          <w:tcPr>
            <w:tcW w:w="2302" w:type="dxa"/>
          </w:tcPr>
          <w:p w:rsidR="00443EE2" w:rsidRDefault="00443EE2" w:rsidP="00EF7AB8">
            <w:pPr>
              <w:pStyle w:val="Bezodstpw"/>
              <w:jc w:val="center"/>
            </w:pPr>
            <w:r>
              <w:t>6,50 zł.</w:t>
            </w:r>
          </w:p>
        </w:tc>
        <w:tc>
          <w:tcPr>
            <w:tcW w:w="2303" w:type="dxa"/>
          </w:tcPr>
          <w:p w:rsidR="00443EE2" w:rsidRDefault="00443EE2" w:rsidP="00EF7AB8">
            <w:pPr>
              <w:pStyle w:val="Bezodstpw"/>
              <w:jc w:val="center"/>
            </w:pPr>
            <w:r>
              <w:t xml:space="preserve">6,98 zł. </w:t>
            </w:r>
          </w:p>
        </w:tc>
        <w:tc>
          <w:tcPr>
            <w:tcW w:w="2303" w:type="dxa"/>
          </w:tcPr>
          <w:p w:rsidR="00443EE2" w:rsidRDefault="00443EE2" w:rsidP="00EF7AB8">
            <w:pPr>
              <w:pStyle w:val="Bezodstpw"/>
              <w:jc w:val="center"/>
            </w:pPr>
            <w:r>
              <w:t xml:space="preserve"> +7,4 %</w:t>
            </w:r>
          </w:p>
        </w:tc>
      </w:tr>
      <w:tr w:rsidR="00443EE2" w:rsidRPr="008F668F" w:rsidTr="00EF7AB8">
        <w:tc>
          <w:tcPr>
            <w:tcW w:w="2302" w:type="dxa"/>
          </w:tcPr>
          <w:p w:rsidR="00443EE2" w:rsidRPr="008F668F" w:rsidRDefault="00443EE2" w:rsidP="00EF7AB8">
            <w:pPr>
              <w:pStyle w:val="Bezodstpw"/>
              <w:jc w:val="center"/>
              <w:rPr>
                <w:b/>
                <w:color w:val="FF0000"/>
              </w:rPr>
            </w:pPr>
            <w:r w:rsidRPr="008F668F">
              <w:rPr>
                <w:b/>
                <w:color w:val="FF0000"/>
              </w:rPr>
              <w:t>Średnio</w:t>
            </w:r>
          </w:p>
        </w:tc>
        <w:tc>
          <w:tcPr>
            <w:tcW w:w="2302" w:type="dxa"/>
            <w:tcBorders>
              <w:right w:val="nil"/>
            </w:tcBorders>
          </w:tcPr>
          <w:p w:rsidR="00443EE2" w:rsidRPr="008F668F" w:rsidRDefault="00443EE2" w:rsidP="00EF7AB8">
            <w:pPr>
              <w:pStyle w:val="Bezodstpw"/>
              <w:jc w:val="center"/>
              <w:rPr>
                <w:b/>
                <w:color w:val="FF0000"/>
              </w:rPr>
            </w:pPr>
          </w:p>
        </w:tc>
        <w:tc>
          <w:tcPr>
            <w:tcW w:w="2303" w:type="dxa"/>
            <w:tcBorders>
              <w:left w:val="nil"/>
            </w:tcBorders>
          </w:tcPr>
          <w:p w:rsidR="00443EE2" w:rsidRPr="008F668F" w:rsidRDefault="00443EE2" w:rsidP="00EF7AB8">
            <w:pPr>
              <w:pStyle w:val="Bezodstpw"/>
              <w:jc w:val="center"/>
              <w:rPr>
                <w:b/>
                <w:color w:val="FF0000"/>
              </w:rPr>
            </w:pPr>
          </w:p>
        </w:tc>
        <w:tc>
          <w:tcPr>
            <w:tcW w:w="2303" w:type="dxa"/>
          </w:tcPr>
          <w:p w:rsidR="00443EE2" w:rsidRPr="008F668F" w:rsidRDefault="00443EE2" w:rsidP="00EF7AB8">
            <w:pPr>
              <w:pStyle w:val="Bezodstpw"/>
              <w:jc w:val="center"/>
              <w:rPr>
                <w:b/>
                <w:color w:val="FF0000"/>
              </w:rPr>
            </w:pPr>
            <w:r w:rsidRPr="008F668F">
              <w:rPr>
                <w:b/>
                <w:color w:val="FF0000"/>
              </w:rPr>
              <w:t xml:space="preserve"> + </w:t>
            </w:r>
            <w:r>
              <w:rPr>
                <w:b/>
                <w:color w:val="FF0000"/>
              </w:rPr>
              <w:t>7</w:t>
            </w:r>
            <w:r w:rsidRPr="008F668F">
              <w:rPr>
                <w:b/>
                <w:color w:val="FF0000"/>
              </w:rPr>
              <w:t>,</w:t>
            </w:r>
            <w:r>
              <w:rPr>
                <w:b/>
                <w:color w:val="FF0000"/>
              </w:rPr>
              <w:t>4</w:t>
            </w:r>
            <w:r w:rsidRPr="008F668F">
              <w:rPr>
                <w:b/>
                <w:color w:val="FF0000"/>
              </w:rPr>
              <w:t xml:space="preserve"> %</w:t>
            </w:r>
          </w:p>
        </w:tc>
      </w:tr>
      <w:tr w:rsidR="00443EE2" w:rsidTr="00EF7AB8">
        <w:tc>
          <w:tcPr>
            <w:tcW w:w="2302" w:type="dxa"/>
          </w:tcPr>
          <w:p w:rsidR="00443EE2" w:rsidRDefault="00443EE2" w:rsidP="00EF7AB8">
            <w:pPr>
              <w:pStyle w:val="Bezodstpw"/>
              <w:jc w:val="center"/>
            </w:pPr>
            <w:r>
              <w:t>WIG 20</w:t>
            </w:r>
          </w:p>
        </w:tc>
        <w:tc>
          <w:tcPr>
            <w:tcW w:w="2302" w:type="dxa"/>
          </w:tcPr>
          <w:p w:rsidR="00443EE2" w:rsidRDefault="00443EE2" w:rsidP="00EF7AB8">
            <w:pPr>
              <w:pStyle w:val="Bezodstpw"/>
              <w:jc w:val="center"/>
            </w:pPr>
            <w:r>
              <w:t xml:space="preserve">2 497,38 pkt. </w:t>
            </w:r>
          </w:p>
        </w:tc>
        <w:tc>
          <w:tcPr>
            <w:tcW w:w="2303" w:type="dxa"/>
          </w:tcPr>
          <w:p w:rsidR="00443EE2" w:rsidRDefault="00443EE2" w:rsidP="00EF7AB8">
            <w:pPr>
              <w:pStyle w:val="Bezodstpw"/>
              <w:jc w:val="center"/>
            </w:pPr>
            <w:r>
              <w:t>2 539,60 pkt.</w:t>
            </w:r>
          </w:p>
        </w:tc>
        <w:tc>
          <w:tcPr>
            <w:tcW w:w="2303" w:type="dxa"/>
          </w:tcPr>
          <w:p w:rsidR="00443EE2" w:rsidRDefault="00443EE2" w:rsidP="00EF7AB8">
            <w:pPr>
              <w:pStyle w:val="Bezodstpw"/>
              <w:jc w:val="center"/>
            </w:pPr>
            <w:r>
              <w:t xml:space="preserve">   +1,7 %</w:t>
            </w:r>
          </w:p>
        </w:tc>
      </w:tr>
    </w:tbl>
    <w:p w:rsidR="00443EE2" w:rsidRDefault="00443EE2" w:rsidP="00443EE2">
      <w:pPr>
        <w:pStyle w:val="Bezodstpw"/>
        <w:jc w:val="both"/>
      </w:pPr>
    </w:p>
    <w:p w:rsidR="00443EE2" w:rsidRDefault="00443EE2" w:rsidP="00443EE2">
      <w:pPr>
        <w:pStyle w:val="Bezodstpw"/>
        <w:jc w:val="both"/>
      </w:pPr>
      <w:r>
        <w:t xml:space="preserve">Tabela: Procentowa zmiana ceny akcji spółki, której akcje zostały umieszczone 16 września na stronie internetowej </w:t>
      </w:r>
      <w:hyperlink r:id="rId18" w:history="1">
        <w:r w:rsidRPr="003C5ED1">
          <w:rPr>
            <w:rStyle w:val="Hipercze"/>
          </w:rPr>
          <w:t>www.analizy-rynkowe.pl</w:t>
        </w:r>
      </w:hyperlink>
      <w:r>
        <w:t xml:space="preserve"> w rubryce  ,,Wykres do przemyślenia” w okresie od 15 do 19 września 2014 roku oraz procentowa zmiana indeksu WIG 20 w tym okresie. </w:t>
      </w:r>
    </w:p>
    <w:p w:rsidR="00443EE2" w:rsidRDefault="00443EE2" w:rsidP="00443EE2">
      <w:pPr>
        <w:pStyle w:val="Bezodstpw"/>
        <w:jc w:val="both"/>
      </w:pPr>
    </w:p>
    <w:tbl>
      <w:tblPr>
        <w:tblStyle w:val="Tabela-Siatka"/>
        <w:tblW w:w="0" w:type="auto"/>
        <w:tblLook w:val="04A0"/>
      </w:tblPr>
      <w:tblGrid>
        <w:gridCol w:w="2302"/>
        <w:gridCol w:w="2302"/>
        <w:gridCol w:w="2303"/>
        <w:gridCol w:w="2303"/>
      </w:tblGrid>
      <w:tr w:rsidR="00443EE2" w:rsidTr="00EF7AB8">
        <w:tc>
          <w:tcPr>
            <w:tcW w:w="2302" w:type="dxa"/>
          </w:tcPr>
          <w:p w:rsidR="00443EE2" w:rsidRDefault="00443EE2" w:rsidP="00EF7AB8">
            <w:pPr>
              <w:pStyle w:val="Bezodstpw"/>
              <w:jc w:val="center"/>
            </w:pPr>
            <w:r>
              <w:t>Instrument finansowy</w:t>
            </w:r>
          </w:p>
        </w:tc>
        <w:tc>
          <w:tcPr>
            <w:tcW w:w="2302" w:type="dxa"/>
          </w:tcPr>
          <w:p w:rsidR="00443EE2" w:rsidRDefault="00443EE2" w:rsidP="00343B92">
            <w:pPr>
              <w:pStyle w:val="Bezodstpw"/>
              <w:jc w:val="center"/>
            </w:pPr>
            <w:r>
              <w:t>Poziom – 1</w:t>
            </w:r>
            <w:r w:rsidR="00343B92">
              <w:t>5</w:t>
            </w:r>
            <w:r>
              <w:t>.09.2014</w:t>
            </w:r>
          </w:p>
        </w:tc>
        <w:tc>
          <w:tcPr>
            <w:tcW w:w="2303" w:type="dxa"/>
          </w:tcPr>
          <w:p w:rsidR="00443EE2" w:rsidRDefault="00443EE2" w:rsidP="00EF7AB8">
            <w:pPr>
              <w:pStyle w:val="Bezodstpw"/>
              <w:jc w:val="center"/>
            </w:pPr>
            <w:r>
              <w:t>Poziom – 19.09.2014</w:t>
            </w:r>
          </w:p>
        </w:tc>
        <w:tc>
          <w:tcPr>
            <w:tcW w:w="2303" w:type="dxa"/>
          </w:tcPr>
          <w:p w:rsidR="00443EE2" w:rsidRDefault="00443EE2" w:rsidP="00EF7AB8">
            <w:pPr>
              <w:pStyle w:val="Bezodstpw"/>
              <w:jc w:val="center"/>
            </w:pPr>
            <w:r>
              <w:t>Zmiana (w %)</w:t>
            </w:r>
          </w:p>
        </w:tc>
      </w:tr>
      <w:tr w:rsidR="00443EE2" w:rsidTr="00EF7AB8">
        <w:tc>
          <w:tcPr>
            <w:tcW w:w="2302" w:type="dxa"/>
          </w:tcPr>
          <w:p w:rsidR="00443EE2" w:rsidRDefault="00443EE2" w:rsidP="00EF7AB8">
            <w:pPr>
              <w:pStyle w:val="Bezodstpw"/>
              <w:jc w:val="center"/>
            </w:pPr>
            <w:r>
              <w:t xml:space="preserve">Akcja spółki </w:t>
            </w:r>
            <w:proofErr w:type="spellStart"/>
            <w:r>
              <w:t>Erbud</w:t>
            </w:r>
            <w:proofErr w:type="spellEnd"/>
          </w:p>
        </w:tc>
        <w:tc>
          <w:tcPr>
            <w:tcW w:w="2302" w:type="dxa"/>
          </w:tcPr>
          <w:p w:rsidR="00443EE2" w:rsidRDefault="00443EE2" w:rsidP="00EF7AB8">
            <w:pPr>
              <w:pStyle w:val="Bezodstpw"/>
              <w:jc w:val="center"/>
            </w:pPr>
            <w:r>
              <w:t>6,50 zł.</w:t>
            </w:r>
          </w:p>
        </w:tc>
        <w:tc>
          <w:tcPr>
            <w:tcW w:w="2303" w:type="dxa"/>
          </w:tcPr>
          <w:p w:rsidR="00443EE2" w:rsidRDefault="00443EE2" w:rsidP="00EF7AB8">
            <w:pPr>
              <w:pStyle w:val="Bezodstpw"/>
              <w:jc w:val="center"/>
            </w:pPr>
            <w:r>
              <w:t xml:space="preserve">6,98 zł. </w:t>
            </w:r>
          </w:p>
        </w:tc>
        <w:tc>
          <w:tcPr>
            <w:tcW w:w="2303" w:type="dxa"/>
          </w:tcPr>
          <w:p w:rsidR="00443EE2" w:rsidRDefault="00443EE2" w:rsidP="00EF7AB8">
            <w:pPr>
              <w:pStyle w:val="Bezodstpw"/>
              <w:jc w:val="center"/>
            </w:pPr>
            <w:r>
              <w:t xml:space="preserve"> + 10,1 %</w:t>
            </w:r>
          </w:p>
        </w:tc>
      </w:tr>
      <w:tr w:rsidR="00443EE2" w:rsidRPr="008F668F" w:rsidTr="00EF7AB8">
        <w:tc>
          <w:tcPr>
            <w:tcW w:w="2302" w:type="dxa"/>
          </w:tcPr>
          <w:p w:rsidR="00443EE2" w:rsidRPr="008F668F" w:rsidRDefault="00443EE2" w:rsidP="00EF7AB8">
            <w:pPr>
              <w:pStyle w:val="Bezodstpw"/>
              <w:jc w:val="center"/>
              <w:rPr>
                <w:b/>
                <w:color w:val="FF0000"/>
              </w:rPr>
            </w:pPr>
            <w:r w:rsidRPr="008F668F">
              <w:rPr>
                <w:b/>
                <w:color w:val="FF0000"/>
              </w:rPr>
              <w:t>Średnio</w:t>
            </w:r>
          </w:p>
        </w:tc>
        <w:tc>
          <w:tcPr>
            <w:tcW w:w="2302" w:type="dxa"/>
            <w:tcBorders>
              <w:right w:val="nil"/>
            </w:tcBorders>
          </w:tcPr>
          <w:p w:rsidR="00443EE2" w:rsidRPr="008F668F" w:rsidRDefault="00443EE2" w:rsidP="00EF7AB8">
            <w:pPr>
              <w:pStyle w:val="Bezodstpw"/>
              <w:jc w:val="center"/>
              <w:rPr>
                <w:b/>
                <w:color w:val="FF0000"/>
              </w:rPr>
            </w:pPr>
          </w:p>
        </w:tc>
        <w:tc>
          <w:tcPr>
            <w:tcW w:w="2303" w:type="dxa"/>
            <w:tcBorders>
              <w:left w:val="nil"/>
            </w:tcBorders>
          </w:tcPr>
          <w:p w:rsidR="00443EE2" w:rsidRPr="008F668F" w:rsidRDefault="00443EE2" w:rsidP="00EF7AB8">
            <w:pPr>
              <w:pStyle w:val="Bezodstpw"/>
              <w:jc w:val="center"/>
              <w:rPr>
                <w:b/>
                <w:color w:val="FF0000"/>
              </w:rPr>
            </w:pPr>
          </w:p>
        </w:tc>
        <w:tc>
          <w:tcPr>
            <w:tcW w:w="2303" w:type="dxa"/>
          </w:tcPr>
          <w:p w:rsidR="00443EE2" w:rsidRPr="008F668F" w:rsidRDefault="00443EE2" w:rsidP="00EF7AB8">
            <w:pPr>
              <w:pStyle w:val="Bezodstpw"/>
              <w:jc w:val="center"/>
              <w:rPr>
                <w:b/>
                <w:color w:val="FF0000"/>
              </w:rPr>
            </w:pPr>
            <w:r w:rsidRPr="008F668F">
              <w:rPr>
                <w:b/>
                <w:color w:val="FF0000"/>
              </w:rPr>
              <w:t xml:space="preserve"> + </w:t>
            </w:r>
            <w:r>
              <w:rPr>
                <w:b/>
                <w:color w:val="FF0000"/>
              </w:rPr>
              <w:t>10,1</w:t>
            </w:r>
            <w:r w:rsidRPr="008F668F">
              <w:rPr>
                <w:b/>
                <w:color w:val="FF0000"/>
              </w:rPr>
              <w:t xml:space="preserve"> %</w:t>
            </w:r>
          </w:p>
        </w:tc>
      </w:tr>
      <w:tr w:rsidR="00443EE2" w:rsidTr="00EF7AB8">
        <w:tc>
          <w:tcPr>
            <w:tcW w:w="2302" w:type="dxa"/>
          </w:tcPr>
          <w:p w:rsidR="00443EE2" w:rsidRDefault="00443EE2" w:rsidP="00EF7AB8">
            <w:pPr>
              <w:pStyle w:val="Bezodstpw"/>
              <w:jc w:val="center"/>
            </w:pPr>
            <w:r>
              <w:t>WIG 20</w:t>
            </w:r>
          </w:p>
        </w:tc>
        <w:tc>
          <w:tcPr>
            <w:tcW w:w="2302" w:type="dxa"/>
          </w:tcPr>
          <w:p w:rsidR="00443EE2" w:rsidRDefault="00443EE2" w:rsidP="00EF7AB8">
            <w:pPr>
              <w:pStyle w:val="Bezodstpw"/>
              <w:jc w:val="center"/>
            </w:pPr>
            <w:r>
              <w:t xml:space="preserve">2 489,77 pkt. </w:t>
            </w:r>
          </w:p>
        </w:tc>
        <w:tc>
          <w:tcPr>
            <w:tcW w:w="2303" w:type="dxa"/>
          </w:tcPr>
          <w:p w:rsidR="00443EE2" w:rsidRDefault="00443EE2" w:rsidP="00EF7AB8">
            <w:pPr>
              <w:pStyle w:val="Bezodstpw"/>
              <w:jc w:val="center"/>
            </w:pPr>
            <w:r>
              <w:t>2 539,60 pkt.</w:t>
            </w:r>
          </w:p>
        </w:tc>
        <w:tc>
          <w:tcPr>
            <w:tcW w:w="2303" w:type="dxa"/>
          </w:tcPr>
          <w:p w:rsidR="00443EE2" w:rsidRDefault="00443EE2" w:rsidP="00EF7AB8">
            <w:pPr>
              <w:pStyle w:val="Bezodstpw"/>
              <w:jc w:val="center"/>
            </w:pPr>
            <w:r>
              <w:t xml:space="preserve">   +2,0 %</w:t>
            </w:r>
          </w:p>
        </w:tc>
      </w:tr>
    </w:tbl>
    <w:p w:rsidR="00443EE2" w:rsidRDefault="00443EE2" w:rsidP="00443EE2">
      <w:pPr>
        <w:pStyle w:val="Bezodstpw"/>
        <w:jc w:val="both"/>
      </w:pPr>
    </w:p>
    <w:p w:rsidR="00EF7AB8" w:rsidRDefault="00C604E5" w:rsidP="00EF7AB8">
      <w:pPr>
        <w:pStyle w:val="Bezodstpw"/>
        <w:pBdr>
          <w:top w:val="single" w:sz="4" w:space="1" w:color="auto"/>
          <w:left w:val="single" w:sz="4" w:space="4" w:color="auto"/>
          <w:bottom w:val="single" w:sz="4" w:space="1" w:color="auto"/>
          <w:right w:val="single" w:sz="4" w:space="4" w:color="auto"/>
        </w:pBdr>
        <w:jc w:val="center"/>
      </w:pPr>
      <w:r>
        <w:t>Wykres do przemyślenia – IF Capital</w:t>
      </w:r>
    </w:p>
    <w:p w:rsidR="00443EE2" w:rsidRDefault="00443EE2" w:rsidP="00443EE2">
      <w:pPr>
        <w:pStyle w:val="Bezodstpw"/>
        <w:jc w:val="both"/>
      </w:pPr>
    </w:p>
    <w:p w:rsidR="00443EE2" w:rsidRDefault="00EF7AB8" w:rsidP="00443EE2">
      <w:pPr>
        <w:pStyle w:val="Bezodstpw"/>
        <w:jc w:val="both"/>
      </w:pPr>
      <w:r>
        <w:t>Dziś w rubryce ,,Wykres do przemyślenia” postanowiłem umieścić akcje spółki IF Capital, które wybiły się z krótkoterminowego dna. Gdyby formacja ta miała się wypełnić oznaczałoby to wzrost kursu do 1 złotego i 40 groszy</w:t>
      </w:r>
      <w:r w:rsidR="005405C6">
        <w:t xml:space="preserve"> (kurs obecny to 1 złoty i 32 grosze).</w:t>
      </w:r>
    </w:p>
    <w:p w:rsidR="00824BE8" w:rsidRDefault="00824BE8" w:rsidP="00443EE2">
      <w:pPr>
        <w:pStyle w:val="Bezodstpw"/>
        <w:jc w:val="both"/>
      </w:pPr>
    </w:p>
    <w:p w:rsidR="00824BE8" w:rsidRDefault="00824BE8" w:rsidP="00443EE2">
      <w:pPr>
        <w:pStyle w:val="Bezodstpw"/>
        <w:jc w:val="both"/>
      </w:pPr>
      <w:r>
        <w:rPr>
          <w:noProof/>
        </w:rPr>
        <w:drawing>
          <wp:inline distT="0" distB="0" distL="0" distR="0">
            <wp:extent cx="4210050" cy="25431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210050" cy="2543175"/>
                    </a:xfrm>
                    <a:prstGeom prst="rect">
                      <a:avLst/>
                    </a:prstGeom>
                    <a:noFill/>
                  </pic:spPr>
                </pic:pic>
              </a:graphicData>
            </a:graphic>
          </wp:inline>
        </w:drawing>
      </w:r>
    </w:p>
    <w:p w:rsidR="00EF7AB8" w:rsidRDefault="00EF7AB8" w:rsidP="00443EE2">
      <w:pPr>
        <w:pStyle w:val="Bezodstpw"/>
        <w:jc w:val="both"/>
      </w:pPr>
      <w:r>
        <w:lastRenderedPageBreak/>
        <w:t xml:space="preserve">Jak prawdopodobnie już wielu czytelników strony internetowej </w:t>
      </w:r>
      <w:hyperlink r:id="rId20" w:history="1">
        <w:r w:rsidRPr="00FB541D">
          <w:rPr>
            <w:rStyle w:val="Hipercze"/>
          </w:rPr>
          <w:t>www.analizy-rynkowe.pl</w:t>
        </w:r>
      </w:hyperlink>
      <w:r>
        <w:t xml:space="preserve"> zauważyło jestem wielkim ,,fanem” formacji podwójnego dna. </w:t>
      </w:r>
    </w:p>
    <w:p w:rsidR="00EF7AB8" w:rsidRDefault="00EF7AB8" w:rsidP="00443EE2">
      <w:pPr>
        <w:pStyle w:val="Bezodstpw"/>
        <w:jc w:val="both"/>
      </w:pPr>
    </w:p>
    <w:p w:rsidR="00EF7AB8" w:rsidRDefault="00EF7AB8" w:rsidP="00443EE2">
      <w:pPr>
        <w:pStyle w:val="Bezodstpw"/>
        <w:jc w:val="both"/>
      </w:pPr>
      <w:r>
        <w:t xml:space="preserve">Powstaje jednak takie pytanie: czy inwestorzy lokujący swoje oszczędności na GPW w Warszawie  łączą metodę </w:t>
      </w:r>
      <w:r w:rsidRPr="00025A6E">
        <w:rPr>
          <w:b/>
          <w:color w:val="FF0000"/>
        </w:rPr>
        <w:t>wybicia z podwójnego dna łączyć z innymi metodami analizy</w:t>
      </w:r>
      <w:r>
        <w:t xml:space="preserve"> ? Nie wiem. Mogę natomiast podać </w:t>
      </w:r>
      <w:r w:rsidR="002316B6">
        <w:t xml:space="preserve">pięć </w:t>
      </w:r>
      <w:r>
        <w:t>przykładow</w:t>
      </w:r>
      <w:r w:rsidR="002316B6">
        <w:t>ych</w:t>
      </w:r>
      <w:r>
        <w:t xml:space="preserve"> </w:t>
      </w:r>
      <w:r w:rsidRPr="000F5D79">
        <w:rPr>
          <w:b/>
        </w:rPr>
        <w:t>hipotetyczn</w:t>
      </w:r>
      <w:r w:rsidR="002316B6" w:rsidRPr="000F5D79">
        <w:rPr>
          <w:b/>
        </w:rPr>
        <w:t>ych przykładów</w:t>
      </w:r>
      <w:r w:rsidR="002316B6">
        <w:t xml:space="preserve"> </w:t>
      </w:r>
      <w:r>
        <w:t xml:space="preserve">inwestorów, których postawa może skłaniać do różnych przemyśleń. </w:t>
      </w:r>
    </w:p>
    <w:p w:rsidR="00EF7AB8" w:rsidRDefault="00EF7AB8" w:rsidP="00443EE2">
      <w:pPr>
        <w:pStyle w:val="Bezodstpw"/>
        <w:jc w:val="both"/>
      </w:pPr>
    </w:p>
    <w:p w:rsidR="002316B6" w:rsidRDefault="002316B6" w:rsidP="002316B6">
      <w:pPr>
        <w:pStyle w:val="Bezodstpw"/>
        <w:jc w:val="both"/>
      </w:pPr>
      <w:r>
        <w:t>Przykłady te podam wykorzystując w celu edukacyjnym właśnie przykład akcji spółki IF Capital.</w:t>
      </w:r>
    </w:p>
    <w:p w:rsidR="002316B6" w:rsidRDefault="002316B6" w:rsidP="002316B6">
      <w:pPr>
        <w:pStyle w:val="Bezodstpw"/>
        <w:jc w:val="both"/>
      </w:pPr>
    </w:p>
    <w:p w:rsidR="00EF7AB8" w:rsidRDefault="009D338C" w:rsidP="00443EE2">
      <w:pPr>
        <w:pStyle w:val="Bezodstpw"/>
        <w:jc w:val="both"/>
      </w:pPr>
      <w:r w:rsidRPr="00524359">
        <w:rPr>
          <w:b/>
          <w:color w:val="FF0000"/>
        </w:rPr>
        <w:t>Przykład pierwszy</w:t>
      </w:r>
      <w:r>
        <w:t>: inwestor Piotr moż</w:t>
      </w:r>
      <w:r w:rsidR="00A916CE">
        <w:t>e powiedzieć: ,,jestem skłonny</w:t>
      </w:r>
      <w:r>
        <w:t xml:space="preserve"> kupić akcje spółki IF Capital, gdyż nie tylko one wybiły się z formacji podwójnego dna, lecz </w:t>
      </w:r>
      <w:r w:rsidRPr="008D44AA">
        <w:rPr>
          <w:b/>
          <w:u w:val="single"/>
        </w:rPr>
        <w:t>do wybicia takiego doszło także w przypadku sił</w:t>
      </w:r>
      <w:r w:rsidR="00A916CE" w:rsidRPr="008D44AA">
        <w:rPr>
          <w:b/>
          <w:u w:val="single"/>
        </w:rPr>
        <w:t>y względnej</w:t>
      </w:r>
      <w:r w:rsidR="00A916CE">
        <w:t xml:space="preserve"> IF Capital / WIG 20</w:t>
      </w:r>
      <w:r w:rsidR="000F5D79">
        <w:t xml:space="preserve"> (patrz: poniższy wykres)</w:t>
      </w:r>
      <w:r w:rsidR="00A916CE">
        <w:t xml:space="preserve">. </w:t>
      </w:r>
      <w:r w:rsidR="005405C6">
        <w:t xml:space="preserve">Przypuszczam </w:t>
      </w:r>
      <w:r w:rsidR="00A916CE">
        <w:t>więc kurs akcji tej spółki będzie zachowywał się lepiej niż indeks WIG 20, który jest dla mn</w:t>
      </w:r>
      <w:r w:rsidR="00C604E5">
        <w:t>ie ważnym punktem odniesienia”.</w:t>
      </w:r>
    </w:p>
    <w:p w:rsidR="00075F49" w:rsidRDefault="00075F49" w:rsidP="00443EE2">
      <w:pPr>
        <w:pStyle w:val="Bezodstpw"/>
        <w:jc w:val="both"/>
      </w:pPr>
    </w:p>
    <w:p w:rsidR="00075F49" w:rsidRDefault="00075F49" w:rsidP="00443EE2">
      <w:pPr>
        <w:pStyle w:val="Bezodstpw"/>
        <w:jc w:val="both"/>
      </w:pPr>
      <w:r>
        <w:rPr>
          <w:noProof/>
        </w:rPr>
        <w:drawing>
          <wp:inline distT="0" distB="0" distL="0" distR="0">
            <wp:extent cx="4210050" cy="2543175"/>
            <wp:effectExtent l="1905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210050" cy="2543175"/>
                    </a:xfrm>
                    <a:prstGeom prst="rect">
                      <a:avLst/>
                    </a:prstGeom>
                    <a:noFill/>
                  </pic:spPr>
                </pic:pic>
              </a:graphicData>
            </a:graphic>
          </wp:inline>
        </w:drawing>
      </w:r>
    </w:p>
    <w:p w:rsidR="009D338C" w:rsidRDefault="009D338C" w:rsidP="00443EE2">
      <w:pPr>
        <w:pStyle w:val="Bezodstpw"/>
        <w:jc w:val="both"/>
      </w:pPr>
    </w:p>
    <w:p w:rsidR="009D338C" w:rsidRDefault="009D338C" w:rsidP="009D338C">
      <w:pPr>
        <w:pStyle w:val="Bezodstpw"/>
        <w:jc w:val="both"/>
      </w:pPr>
      <w:r w:rsidRPr="00524359">
        <w:rPr>
          <w:b/>
          <w:color w:val="FF0000"/>
        </w:rPr>
        <w:t xml:space="preserve">Przykład </w:t>
      </w:r>
      <w:r w:rsidR="00A916CE" w:rsidRPr="00524359">
        <w:rPr>
          <w:b/>
          <w:color w:val="FF0000"/>
        </w:rPr>
        <w:t>drugi</w:t>
      </w:r>
      <w:r>
        <w:t xml:space="preserve">: inwestor </w:t>
      </w:r>
      <w:r w:rsidR="005405C6">
        <w:t>Tadeusz</w:t>
      </w:r>
      <w:r>
        <w:t xml:space="preserve"> moż</w:t>
      </w:r>
      <w:r w:rsidR="00C604E5">
        <w:t>e powiedzieć: ,,jestem skłonny</w:t>
      </w:r>
      <w:r>
        <w:t xml:space="preserve"> kupić akcje spółki IF Capital, </w:t>
      </w:r>
      <w:r w:rsidR="00A916CE">
        <w:t xml:space="preserve">nie tylko dlatego, że </w:t>
      </w:r>
      <w:r>
        <w:t xml:space="preserve">wybiły się z formacji podwójnego dna, lecz także dlatego, że </w:t>
      </w:r>
      <w:r w:rsidRPr="008D44AA">
        <w:rPr>
          <w:b/>
          <w:u w:val="single"/>
        </w:rPr>
        <w:t>akcje te notowane są przy niższym poziomie wartości C/WK</w:t>
      </w:r>
      <w:r>
        <w:t xml:space="preserve"> </w:t>
      </w:r>
      <w:r w:rsidR="00EA7F64">
        <w:t xml:space="preserve">(0,3) </w:t>
      </w:r>
      <w:r w:rsidRPr="008D44AA">
        <w:rPr>
          <w:b/>
          <w:u w:val="single"/>
        </w:rPr>
        <w:t>niż poziom dla polskiego rynku akcji ogółem</w:t>
      </w:r>
      <w:r w:rsidR="00EA7F64">
        <w:t xml:space="preserve"> (1,1)</w:t>
      </w:r>
      <w:r w:rsidR="00A916CE">
        <w:t xml:space="preserve">, co może wskazywać na ich </w:t>
      </w:r>
      <w:r w:rsidR="000F5D79">
        <w:t>niedowa</w:t>
      </w:r>
      <w:r w:rsidR="00A916CE">
        <w:t>rtościowanie”.</w:t>
      </w:r>
    </w:p>
    <w:p w:rsidR="00DA00E3" w:rsidRDefault="00DA00E3" w:rsidP="009D338C">
      <w:pPr>
        <w:pStyle w:val="Bezodstpw"/>
        <w:jc w:val="both"/>
      </w:pPr>
    </w:p>
    <w:p w:rsidR="00DA00E3" w:rsidRDefault="00DA00E3" w:rsidP="009D338C">
      <w:pPr>
        <w:pStyle w:val="Bezodstpw"/>
        <w:jc w:val="both"/>
      </w:pPr>
      <w:r>
        <w:t xml:space="preserve">Dane o poziomie wskaźnika C/WK a także o poziomie np. wskaźnika C/Z </w:t>
      </w:r>
      <w:r w:rsidR="000F5D79">
        <w:t xml:space="preserve">poszczególnych spółek </w:t>
      </w:r>
      <w:r>
        <w:t>można znaleźć</w:t>
      </w:r>
      <w:r w:rsidR="00C604E5">
        <w:t xml:space="preserve"> na stronie </w:t>
      </w:r>
      <w:r>
        <w:t xml:space="preserve">internetowej  </w:t>
      </w:r>
      <w:hyperlink r:id="rId22" w:history="1">
        <w:r w:rsidRPr="005F1393">
          <w:rPr>
            <w:rStyle w:val="Hipercze"/>
          </w:rPr>
          <w:t>www.stooq.com</w:t>
        </w:r>
      </w:hyperlink>
    </w:p>
    <w:p w:rsidR="00DA00E3" w:rsidRDefault="00DA00E3" w:rsidP="009D338C">
      <w:pPr>
        <w:pStyle w:val="Bezodstpw"/>
        <w:jc w:val="both"/>
      </w:pPr>
    </w:p>
    <w:p w:rsidR="00DA00E3" w:rsidRDefault="00F9215E" w:rsidP="009D338C">
      <w:pPr>
        <w:pStyle w:val="Bezodstpw"/>
        <w:jc w:val="both"/>
      </w:pPr>
      <w:hyperlink r:id="rId23" w:history="1">
        <w:r w:rsidR="00DA00E3" w:rsidRPr="005F1393">
          <w:rPr>
            <w:rStyle w:val="Hipercze"/>
          </w:rPr>
          <w:t>http://stooq.pl/t/?i=513&amp;v=8&amp;o=9</w:t>
        </w:r>
      </w:hyperlink>
    </w:p>
    <w:p w:rsidR="00DA00E3" w:rsidRDefault="00DA00E3" w:rsidP="009D338C">
      <w:pPr>
        <w:pStyle w:val="Bezodstpw"/>
        <w:jc w:val="both"/>
      </w:pPr>
    </w:p>
    <w:p w:rsidR="009D338C" w:rsidRDefault="00DA00E3" w:rsidP="009D338C">
      <w:pPr>
        <w:pStyle w:val="Bezodstpw"/>
        <w:jc w:val="both"/>
      </w:pPr>
      <w:r>
        <w:t xml:space="preserve">Dane o poziomie wskaźnika C/WK oraz np. C/Z dla polskiego rynku akcji </w:t>
      </w:r>
      <w:r w:rsidR="000F5D79">
        <w:t xml:space="preserve">ogółem </w:t>
      </w:r>
      <w:r>
        <w:t xml:space="preserve">można z kole znaleźć na stronie internetowej Giełdy Papierów Wartościowych w Warszawie </w:t>
      </w:r>
    </w:p>
    <w:p w:rsidR="00DA00E3" w:rsidRDefault="00DA00E3" w:rsidP="009D338C">
      <w:pPr>
        <w:pStyle w:val="Bezodstpw"/>
        <w:jc w:val="both"/>
      </w:pPr>
    </w:p>
    <w:p w:rsidR="00DA00E3" w:rsidRDefault="00F9215E" w:rsidP="009D338C">
      <w:pPr>
        <w:pStyle w:val="Bezodstpw"/>
        <w:jc w:val="both"/>
      </w:pPr>
      <w:hyperlink r:id="rId24" w:history="1">
        <w:r w:rsidR="00DA00E3" w:rsidRPr="005F1393">
          <w:rPr>
            <w:rStyle w:val="Hipercze"/>
          </w:rPr>
          <w:t>http://www.gpw.pl/analizy_i_statystyki_pelna_wersja</w:t>
        </w:r>
      </w:hyperlink>
    </w:p>
    <w:p w:rsidR="00DA00E3" w:rsidRDefault="00DA00E3" w:rsidP="009D338C">
      <w:pPr>
        <w:pStyle w:val="Bezodstpw"/>
        <w:jc w:val="both"/>
      </w:pPr>
    </w:p>
    <w:p w:rsidR="009D338C" w:rsidRDefault="009D338C" w:rsidP="009D338C">
      <w:pPr>
        <w:pStyle w:val="Bezodstpw"/>
        <w:jc w:val="both"/>
      </w:pPr>
      <w:r w:rsidRPr="00524359">
        <w:rPr>
          <w:b/>
          <w:color w:val="FF0000"/>
        </w:rPr>
        <w:t xml:space="preserve">Przykład </w:t>
      </w:r>
      <w:r w:rsidR="00A916CE" w:rsidRPr="00524359">
        <w:rPr>
          <w:b/>
          <w:color w:val="FF0000"/>
        </w:rPr>
        <w:t>trzeci</w:t>
      </w:r>
      <w:r>
        <w:t xml:space="preserve">: inwestorka Aneta może powiedzieć: ,,jestem skłonna kupić akcje spółki IF Capital, </w:t>
      </w:r>
      <w:r w:rsidR="00A916CE">
        <w:t xml:space="preserve">nie tylko dlatego, ze akcje te </w:t>
      </w:r>
      <w:r>
        <w:t xml:space="preserve">wybiły się z formacji podwójnego dna, lecz także dlatego, że w okresie od października 2013 </w:t>
      </w:r>
      <w:r w:rsidR="00D13E74">
        <w:t xml:space="preserve">do czerwca 2014 roku </w:t>
      </w:r>
      <w:r w:rsidRPr="008D44AA">
        <w:rPr>
          <w:b/>
          <w:u w:val="single"/>
        </w:rPr>
        <w:t xml:space="preserve">osoby powiązane ze spółką </w:t>
      </w:r>
      <w:r w:rsidR="00025A6E">
        <w:rPr>
          <w:b/>
          <w:u w:val="single"/>
        </w:rPr>
        <w:tab/>
        <w:t xml:space="preserve">IF Capital kupowały akcje </w:t>
      </w:r>
      <w:r w:rsidRPr="008D44AA">
        <w:rPr>
          <w:b/>
          <w:u w:val="single"/>
        </w:rPr>
        <w:t>swojej spółki</w:t>
      </w:r>
      <w:r>
        <w:t>, co może świadczyć o tym, że widzą oni przez nią dobrą przyszłość”</w:t>
      </w:r>
    </w:p>
    <w:p w:rsidR="009D338C" w:rsidRDefault="009D338C" w:rsidP="009D338C">
      <w:pPr>
        <w:pStyle w:val="Bezodstpw"/>
        <w:jc w:val="both"/>
      </w:pPr>
    </w:p>
    <w:p w:rsidR="006A719D" w:rsidRDefault="006A719D" w:rsidP="009D338C">
      <w:pPr>
        <w:pStyle w:val="Bezodstpw"/>
        <w:jc w:val="both"/>
      </w:pPr>
    </w:p>
    <w:p w:rsidR="006A719D" w:rsidRDefault="006A719D" w:rsidP="009D338C">
      <w:pPr>
        <w:pStyle w:val="Bezodstpw"/>
        <w:jc w:val="both"/>
      </w:pPr>
      <w:r>
        <w:t xml:space="preserve">Informacja o transakcjach osób i podmiotów gospodarczych powiązanych ze spółką IF Capital można znaleźć tutaj: </w:t>
      </w:r>
    </w:p>
    <w:p w:rsidR="006A719D" w:rsidRDefault="006A719D" w:rsidP="009D338C">
      <w:pPr>
        <w:pStyle w:val="Bezodstpw"/>
        <w:jc w:val="both"/>
      </w:pPr>
    </w:p>
    <w:p w:rsidR="006A719D" w:rsidRPr="006A719D" w:rsidRDefault="00F9215E" w:rsidP="009D338C">
      <w:pPr>
        <w:pStyle w:val="Bezodstpw"/>
        <w:jc w:val="both"/>
      </w:pPr>
      <w:hyperlink r:id="rId25" w:history="1">
        <w:r w:rsidR="006A719D" w:rsidRPr="006A719D">
          <w:rPr>
            <w:rStyle w:val="Hipercze"/>
          </w:rPr>
          <w:t>http://mojeinwestycje.interia.pl/gie/narzedzia/insider?pole=IFC</w:t>
        </w:r>
      </w:hyperlink>
    </w:p>
    <w:p w:rsidR="006A719D" w:rsidRDefault="006A719D" w:rsidP="009D338C">
      <w:pPr>
        <w:pStyle w:val="Bezodstpw"/>
        <w:jc w:val="both"/>
        <w:rPr>
          <w:b/>
        </w:rPr>
      </w:pPr>
    </w:p>
    <w:tbl>
      <w:tblPr>
        <w:tblW w:w="4950" w:type="pct"/>
        <w:jc w:val="right"/>
        <w:tblCellSpacing w:w="7" w:type="dxa"/>
        <w:tblCellMar>
          <w:top w:w="30" w:type="dxa"/>
          <w:left w:w="30" w:type="dxa"/>
          <w:bottom w:w="30" w:type="dxa"/>
          <w:right w:w="30" w:type="dxa"/>
        </w:tblCellMar>
        <w:tblLook w:val="04A0"/>
      </w:tblPr>
      <w:tblGrid>
        <w:gridCol w:w="932"/>
        <w:gridCol w:w="1175"/>
        <w:gridCol w:w="906"/>
        <w:gridCol w:w="1802"/>
        <w:gridCol w:w="1086"/>
        <w:gridCol w:w="1266"/>
        <w:gridCol w:w="1899"/>
      </w:tblGrid>
      <w:tr w:rsidR="006A719D">
        <w:trPr>
          <w:tblCellSpacing w:w="7" w:type="dxa"/>
          <w:jc w:val="right"/>
        </w:trPr>
        <w:tc>
          <w:tcPr>
            <w:tcW w:w="500" w:type="pct"/>
            <w:shd w:val="clear" w:color="auto" w:fill="E0EFFB"/>
            <w:vAlign w:val="center"/>
            <w:hideMark/>
          </w:tcPr>
          <w:p w:rsidR="006A719D" w:rsidRDefault="006A719D">
            <w:pPr>
              <w:jc w:val="center"/>
              <w:rPr>
                <w:rFonts w:ascii="Arial CE" w:hAnsi="Arial CE" w:cs="Arial CE"/>
                <w:sz w:val="17"/>
                <w:szCs w:val="17"/>
              </w:rPr>
            </w:pPr>
            <w:r>
              <w:rPr>
                <w:rFonts w:ascii="Arial CE" w:hAnsi="Arial CE" w:cs="Arial CE"/>
                <w:sz w:val="17"/>
                <w:szCs w:val="17"/>
              </w:rPr>
              <w:t>Data</w:t>
            </w:r>
          </w:p>
        </w:tc>
        <w:tc>
          <w:tcPr>
            <w:tcW w:w="650" w:type="pct"/>
            <w:shd w:val="clear" w:color="auto" w:fill="E0EFFB"/>
            <w:vAlign w:val="center"/>
            <w:hideMark/>
          </w:tcPr>
          <w:p w:rsidR="006A719D" w:rsidRDefault="006A719D">
            <w:pPr>
              <w:jc w:val="center"/>
              <w:rPr>
                <w:rFonts w:ascii="Arial CE" w:hAnsi="Arial CE" w:cs="Arial CE"/>
                <w:sz w:val="17"/>
                <w:szCs w:val="17"/>
              </w:rPr>
            </w:pPr>
            <w:r>
              <w:rPr>
                <w:rFonts w:ascii="Arial CE" w:hAnsi="Arial CE" w:cs="Arial CE"/>
                <w:sz w:val="17"/>
                <w:szCs w:val="17"/>
              </w:rPr>
              <w:t>Spółka</w:t>
            </w:r>
          </w:p>
        </w:tc>
        <w:tc>
          <w:tcPr>
            <w:tcW w:w="500" w:type="pct"/>
            <w:shd w:val="clear" w:color="auto" w:fill="E0EFFB"/>
            <w:vAlign w:val="center"/>
            <w:hideMark/>
          </w:tcPr>
          <w:p w:rsidR="006A719D" w:rsidRDefault="006A719D">
            <w:pPr>
              <w:jc w:val="center"/>
              <w:rPr>
                <w:rFonts w:ascii="Arial CE" w:hAnsi="Arial CE" w:cs="Arial CE"/>
                <w:sz w:val="17"/>
                <w:szCs w:val="17"/>
              </w:rPr>
            </w:pPr>
            <w:r>
              <w:rPr>
                <w:rFonts w:ascii="Arial CE" w:hAnsi="Arial CE" w:cs="Arial CE"/>
                <w:sz w:val="17"/>
                <w:szCs w:val="17"/>
              </w:rPr>
              <w:t>Rodzaj</w:t>
            </w:r>
          </w:p>
        </w:tc>
        <w:tc>
          <w:tcPr>
            <w:tcW w:w="1000" w:type="pct"/>
            <w:shd w:val="clear" w:color="auto" w:fill="E0EFFB"/>
            <w:vAlign w:val="center"/>
            <w:hideMark/>
          </w:tcPr>
          <w:p w:rsidR="006A719D" w:rsidRDefault="006A719D">
            <w:pPr>
              <w:jc w:val="center"/>
              <w:rPr>
                <w:rFonts w:ascii="Arial CE" w:hAnsi="Arial CE" w:cs="Arial CE"/>
                <w:sz w:val="17"/>
                <w:szCs w:val="17"/>
              </w:rPr>
            </w:pPr>
            <w:r>
              <w:rPr>
                <w:rFonts w:ascii="Arial CE" w:hAnsi="Arial CE" w:cs="Arial CE"/>
                <w:sz w:val="17"/>
                <w:szCs w:val="17"/>
              </w:rPr>
              <w:t>Kto</w:t>
            </w:r>
          </w:p>
        </w:tc>
        <w:tc>
          <w:tcPr>
            <w:tcW w:w="600" w:type="pct"/>
            <w:shd w:val="clear" w:color="auto" w:fill="E0EFFB"/>
            <w:vAlign w:val="center"/>
            <w:hideMark/>
          </w:tcPr>
          <w:p w:rsidR="006A719D" w:rsidRDefault="006A719D">
            <w:pPr>
              <w:jc w:val="center"/>
              <w:rPr>
                <w:rFonts w:ascii="Arial CE" w:hAnsi="Arial CE" w:cs="Arial CE"/>
                <w:sz w:val="17"/>
                <w:szCs w:val="17"/>
              </w:rPr>
            </w:pPr>
            <w:r>
              <w:rPr>
                <w:rFonts w:ascii="Arial CE" w:hAnsi="Arial CE" w:cs="Arial CE"/>
                <w:sz w:val="17"/>
                <w:szCs w:val="17"/>
              </w:rPr>
              <w:t>Ile akcji</w:t>
            </w:r>
          </w:p>
        </w:tc>
        <w:tc>
          <w:tcPr>
            <w:tcW w:w="700" w:type="pct"/>
            <w:shd w:val="clear" w:color="auto" w:fill="E0EFFB"/>
            <w:vAlign w:val="center"/>
            <w:hideMark/>
          </w:tcPr>
          <w:p w:rsidR="006A719D" w:rsidRDefault="006A719D">
            <w:pPr>
              <w:jc w:val="center"/>
              <w:rPr>
                <w:rFonts w:ascii="Arial CE" w:hAnsi="Arial CE" w:cs="Arial CE"/>
                <w:sz w:val="17"/>
                <w:szCs w:val="17"/>
              </w:rPr>
            </w:pPr>
            <w:r>
              <w:rPr>
                <w:rFonts w:ascii="Arial CE" w:hAnsi="Arial CE" w:cs="Arial CE"/>
                <w:sz w:val="17"/>
                <w:szCs w:val="17"/>
              </w:rPr>
              <w:t>Cena</w:t>
            </w:r>
          </w:p>
        </w:tc>
        <w:tc>
          <w:tcPr>
            <w:tcW w:w="1050" w:type="pct"/>
            <w:shd w:val="clear" w:color="auto" w:fill="E0EFFB"/>
            <w:vAlign w:val="center"/>
            <w:hideMark/>
          </w:tcPr>
          <w:p w:rsidR="006A719D" w:rsidRDefault="006A719D">
            <w:pPr>
              <w:jc w:val="center"/>
              <w:rPr>
                <w:rFonts w:ascii="Arial CE" w:hAnsi="Arial CE" w:cs="Arial CE"/>
                <w:sz w:val="17"/>
                <w:szCs w:val="17"/>
              </w:rPr>
            </w:pPr>
            <w:r>
              <w:rPr>
                <w:rFonts w:ascii="Arial CE" w:hAnsi="Arial CE" w:cs="Arial CE"/>
                <w:sz w:val="17"/>
                <w:szCs w:val="17"/>
              </w:rPr>
              <w:t>Uwagi</w:t>
            </w:r>
          </w:p>
        </w:tc>
      </w:tr>
      <w:tr w:rsidR="006A719D">
        <w:trPr>
          <w:tblCellSpacing w:w="7" w:type="dxa"/>
          <w:jc w:val="right"/>
        </w:trPr>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26.05.2014</w:t>
            </w:r>
          </w:p>
        </w:tc>
        <w:tc>
          <w:tcPr>
            <w:tcW w:w="0" w:type="auto"/>
            <w:shd w:val="clear" w:color="auto" w:fill="FFFFFF"/>
            <w:vAlign w:val="center"/>
            <w:hideMark/>
          </w:tcPr>
          <w:p w:rsidR="006A719D" w:rsidRDefault="00F9215E">
            <w:pPr>
              <w:rPr>
                <w:rFonts w:ascii="Arial CE" w:hAnsi="Arial CE" w:cs="Arial CE"/>
                <w:sz w:val="17"/>
                <w:szCs w:val="17"/>
              </w:rPr>
            </w:pPr>
            <w:hyperlink r:id="rId26"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FFF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FFFFF"/>
            <w:vAlign w:val="center"/>
            <w:hideMark/>
          </w:tcPr>
          <w:p w:rsidR="006A719D" w:rsidRDefault="006A719D">
            <w:pPr>
              <w:jc w:val="right"/>
              <w:rPr>
                <w:rFonts w:ascii="Arial CE" w:hAnsi="Arial CE" w:cs="Arial CE"/>
                <w:sz w:val="17"/>
                <w:szCs w:val="17"/>
              </w:rPr>
            </w:pPr>
            <w:r>
              <w:rPr>
                <w:rFonts w:ascii="Arial CE" w:hAnsi="Arial CE" w:cs="Arial CE"/>
                <w:sz w:val="17"/>
                <w:szCs w:val="17"/>
              </w:rPr>
              <w:t>46 579</w:t>
            </w:r>
          </w:p>
        </w:tc>
        <w:tc>
          <w:tcPr>
            <w:tcW w:w="0" w:type="auto"/>
            <w:shd w:val="clear" w:color="auto" w:fill="FFFFFF"/>
            <w:vAlign w:val="center"/>
            <w:hideMark/>
          </w:tcPr>
          <w:p w:rsidR="006A719D" w:rsidRDefault="006A719D">
            <w:pPr>
              <w:jc w:val="center"/>
              <w:rPr>
                <w:rFonts w:ascii="Arial CE" w:hAnsi="Arial CE" w:cs="Arial CE"/>
                <w:sz w:val="17"/>
                <w:szCs w:val="17"/>
              </w:rPr>
            </w:pPr>
            <w:r>
              <w:rPr>
                <w:rFonts w:ascii="Arial CE" w:hAnsi="Arial CE" w:cs="Arial CE"/>
                <w:sz w:val="17"/>
                <w:szCs w:val="17"/>
              </w:rPr>
              <w:t>1,2 - 1,28 zł</w:t>
            </w:r>
          </w:p>
        </w:tc>
        <w:tc>
          <w:tcPr>
            <w:tcW w:w="0" w:type="auto"/>
            <w:shd w:val="clear" w:color="auto" w:fill="FFFF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22-26.5.2014 r.</w:t>
            </w:r>
          </w:p>
        </w:tc>
      </w:tr>
      <w:tr w:rsidR="006A719D">
        <w:trPr>
          <w:tblCellSpacing w:w="7" w:type="dxa"/>
          <w:jc w:val="right"/>
        </w:trPr>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26.05.2014</w:t>
            </w:r>
          </w:p>
        </w:tc>
        <w:tc>
          <w:tcPr>
            <w:tcW w:w="0" w:type="auto"/>
            <w:shd w:val="clear" w:color="auto" w:fill="F7FAFF"/>
            <w:vAlign w:val="center"/>
            <w:hideMark/>
          </w:tcPr>
          <w:p w:rsidR="006A719D" w:rsidRDefault="00F9215E">
            <w:pPr>
              <w:rPr>
                <w:rFonts w:ascii="Arial CE" w:hAnsi="Arial CE" w:cs="Arial CE"/>
                <w:sz w:val="17"/>
                <w:szCs w:val="17"/>
              </w:rPr>
            </w:pPr>
            <w:hyperlink r:id="rId27"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7FA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7FAFF"/>
            <w:vAlign w:val="center"/>
            <w:hideMark/>
          </w:tcPr>
          <w:p w:rsidR="006A719D" w:rsidRDefault="006A719D">
            <w:pPr>
              <w:jc w:val="right"/>
              <w:rPr>
                <w:rFonts w:ascii="Arial CE" w:hAnsi="Arial CE" w:cs="Arial CE"/>
                <w:sz w:val="17"/>
                <w:szCs w:val="17"/>
              </w:rPr>
            </w:pPr>
            <w:r>
              <w:rPr>
                <w:rFonts w:ascii="Arial CE" w:hAnsi="Arial CE" w:cs="Arial CE"/>
                <w:sz w:val="17"/>
                <w:szCs w:val="17"/>
              </w:rPr>
              <w:t>46 579</w:t>
            </w:r>
          </w:p>
        </w:tc>
        <w:tc>
          <w:tcPr>
            <w:tcW w:w="0" w:type="auto"/>
            <w:shd w:val="clear" w:color="auto" w:fill="F7FAFF"/>
            <w:vAlign w:val="center"/>
            <w:hideMark/>
          </w:tcPr>
          <w:p w:rsidR="006A719D" w:rsidRDefault="006A719D">
            <w:pPr>
              <w:jc w:val="center"/>
              <w:rPr>
                <w:rFonts w:ascii="Arial CE" w:hAnsi="Arial CE" w:cs="Arial CE"/>
                <w:sz w:val="17"/>
                <w:szCs w:val="17"/>
              </w:rPr>
            </w:pPr>
            <w:r>
              <w:rPr>
                <w:rFonts w:ascii="Arial CE" w:hAnsi="Arial CE" w:cs="Arial CE"/>
                <w:sz w:val="17"/>
                <w:szCs w:val="17"/>
              </w:rPr>
              <w:t>1,2 - 1,28 zł</w:t>
            </w:r>
          </w:p>
        </w:tc>
        <w:tc>
          <w:tcPr>
            <w:tcW w:w="0" w:type="auto"/>
            <w:shd w:val="clear" w:color="auto" w:fill="F7FA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22-26.5.2014 r.</w:t>
            </w:r>
          </w:p>
        </w:tc>
      </w:tr>
      <w:tr w:rsidR="006A719D">
        <w:trPr>
          <w:tblCellSpacing w:w="7" w:type="dxa"/>
          <w:jc w:val="right"/>
        </w:trPr>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26.05.2014</w:t>
            </w:r>
          </w:p>
        </w:tc>
        <w:tc>
          <w:tcPr>
            <w:tcW w:w="0" w:type="auto"/>
            <w:shd w:val="clear" w:color="auto" w:fill="FFFFFF"/>
            <w:vAlign w:val="center"/>
            <w:hideMark/>
          </w:tcPr>
          <w:p w:rsidR="006A719D" w:rsidRDefault="00F9215E">
            <w:pPr>
              <w:rPr>
                <w:rFonts w:ascii="Arial CE" w:hAnsi="Arial CE" w:cs="Arial CE"/>
                <w:sz w:val="17"/>
                <w:szCs w:val="17"/>
              </w:rPr>
            </w:pPr>
            <w:hyperlink r:id="rId28"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FFF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FFFFF"/>
            <w:vAlign w:val="center"/>
            <w:hideMark/>
          </w:tcPr>
          <w:p w:rsidR="006A719D" w:rsidRDefault="006A719D">
            <w:pPr>
              <w:jc w:val="right"/>
              <w:rPr>
                <w:rFonts w:ascii="Arial CE" w:hAnsi="Arial CE" w:cs="Arial CE"/>
                <w:sz w:val="17"/>
                <w:szCs w:val="17"/>
              </w:rPr>
            </w:pPr>
            <w:r>
              <w:rPr>
                <w:rFonts w:ascii="Arial CE" w:hAnsi="Arial CE" w:cs="Arial CE"/>
                <w:sz w:val="17"/>
                <w:szCs w:val="17"/>
              </w:rPr>
              <w:t>46 579</w:t>
            </w:r>
          </w:p>
        </w:tc>
        <w:tc>
          <w:tcPr>
            <w:tcW w:w="0" w:type="auto"/>
            <w:shd w:val="clear" w:color="auto" w:fill="FFFFFF"/>
            <w:vAlign w:val="center"/>
            <w:hideMark/>
          </w:tcPr>
          <w:p w:rsidR="006A719D" w:rsidRDefault="006A719D">
            <w:pPr>
              <w:jc w:val="center"/>
              <w:rPr>
                <w:rFonts w:ascii="Arial CE" w:hAnsi="Arial CE" w:cs="Arial CE"/>
                <w:sz w:val="17"/>
                <w:szCs w:val="17"/>
              </w:rPr>
            </w:pPr>
            <w:r>
              <w:rPr>
                <w:rFonts w:ascii="Arial CE" w:hAnsi="Arial CE" w:cs="Arial CE"/>
                <w:sz w:val="17"/>
                <w:szCs w:val="17"/>
              </w:rPr>
              <w:t>1,23 zł</w:t>
            </w:r>
          </w:p>
        </w:tc>
        <w:tc>
          <w:tcPr>
            <w:tcW w:w="0" w:type="auto"/>
            <w:shd w:val="clear" w:color="auto" w:fill="FFFF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22-26.5.2014 r.</w:t>
            </w:r>
          </w:p>
        </w:tc>
      </w:tr>
      <w:tr w:rsidR="006A719D">
        <w:trPr>
          <w:tblCellSpacing w:w="7" w:type="dxa"/>
          <w:jc w:val="right"/>
        </w:trPr>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14.05.2014</w:t>
            </w:r>
          </w:p>
        </w:tc>
        <w:tc>
          <w:tcPr>
            <w:tcW w:w="0" w:type="auto"/>
            <w:shd w:val="clear" w:color="auto" w:fill="F7FAFF"/>
            <w:vAlign w:val="center"/>
            <w:hideMark/>
          </w:tcPr>
          <w:p w:rsidR="006A719D" w:rsidRDefault="00F9215E">
            <w:pPr>
              <w:rPr>
                <w:rFonts w:ascii="Arial CE" w:hAnsi="Arial CE" w:cs="Arial CE"/>
                <w:sz w:val="17"/>
                <w:szCs w:val="17"/>
              </w:rPr>
            </w:pPr>
            <w:hyperlink r:id="rId29"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7FA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7FAFF"/>
            <w:vAlign w:val="center"/>
            <w:hideMark/>
          </w:tcPr>
          <w:p w:rsidR="006A719D" w:rsidRDefault="006A719D">
            <w:pPr>
              <w:jc w:val="right"/>
              <w:rPr>
                <w:rFonts w:ascii="Arial CE" w:hAnsi="Arial CE" w:cs="Arial CE"/>
                <w:sz w:val="17"/>
                <w:szCs w:val="17"/>
              </w:rPr>
            </w:pPr>
            <w:r>
              <w:rPr>
                <w:rFonts w:ascii="Arial CE" w:hAnsi="Arial CE" w:cs="Arial CE"/>
                <w:sz w:val="17"/>
                <w:szCs w:val="17"/>
              </w:rPr>
              <w:t>3 210 517</w:t>
            </w:r>
          </w:p>
        </w:tc>
        <w:tc>
          <w:tcPr>
            <w:tcW w:w="0" w:type="auto"/>
            <w:shd w:val="clear" w:color="auto" w:fill="F7FAFF"/>
            <w:vAlign w:val="center"/>
            <w:hideMark/>
          </w:tcPr>
          <w:p w:rsidR="006A719D" w:rsidRDefault="006A719D">
            <w:pPr>
              <w:jc w:val="center"/>
              <w:rPr>
                <w:rFonts w:ascii="Arial CE" w:hAnsi="Arial CE" w:cs="Arial CE"/>
                <w:sz w:val="17"/>
                <w:szCs w:val="17"/>
              </w:rPr>
            </w:pPr>
            <w:r>
              <w:rPr>
                <w:rFonts w:ascii="Arial CE" w:hAnsi="Arial CE" w:cs="Arial CE"/>
                <w:sz w:val="17"/>
                <w:szCs w:val="17"/>
              </w:rPr>
              <w:t>-</w:t>
            </w:r>
          </w:p>
        </w:tc>
        <w:tc>
          <w:tcPr>
            <w:tcW w:w="0" w:type="auto"/>
            <w:shd w:val="clear" w:color="auto" w:fill="F7FA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8.5.2014 r.</w:t>
            </w:r>
          </w:p>
        </w:tc>
      </w:tr>
      <w:tr w:rsidR="006A719D">
        <w:trPr>
          <w:tblCellSpacing w:w="7" w:type="dxa"/>
          <w:jc w:val="right"/>
        </w:trPr>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03.04.2014</w:t>
            </w:r>
          </w:p>
        </w:tc>
        <w:tc>
          <w:tcPr>
            <w:tcW w:w="0" w:type="auto"/>
            <w:shd w:val="clear" w:color="auto" w:fill="FFFFFF"/>
            <w:vAlign w:val="center"/>
            <w:hideMark/>
          </w:tcPr>
          <w:p w:rsidR="006A719D" w:rsidRDefault="00F9215E">
            <w:pPr>
              <w:rPr>
                <w:rFonts w:ascii="Arial CE" w:hAnsi="Arial CE" w:cs="Arial CE"/>
                <w:sz w:val="17"/>
                <w:szCs w:val="17"/>
              </w:rPr>
            </w:pPr>
            <w:hyperlink r:id="rId30"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FFF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FFFFF"/>
            <w:vAlign w:val="center"/>
            <w:hideMark/>
          </w:tcPr>
          <w:p w:rsidR="006A719D" w:rsidRDefault="006A719D">
            <w:pPr>
              <w:jc w:val="right"/>
              <w:rPr>
                <w:rFonts w:ascii="Arial CE" w:hAnsi="Arial CE" w:cs="Arial CE"/>
                <w:sz w:val="17"/>
                <w:szCs w:val="17"/>
              </w:rPr>
            </w:pPr>
            <w:r>
              <w:rPr>
                <w:rFonts w:ascii="Arial CE" w:hAnsi="Arial CE" w:cs="Arial CE"/>
                <w:sz w:val="17"/>
                <w:szCs w:val="17"/>
              </w:rPr>
              <w:t>14 057</w:t>
            </w:r>
          </w:p>
        </w:tc>
        <w:tc>
          <w:tcPr>
            <w:tcW w:w="0" w:type="auto"/>
            <w:shd w:val="clear" w:color="auto" w:fill="FFFFFF"/>
            <w:vAlign w:val="center"/>
            <w:hideMark/>
          </w:tcPr>
          <w:p w:rsidR="006A719D" w:rsidRDefault="006A719D">
            <w:pPr>
              <w:jc w:val="center"/>
              <w:rPr>
                <w:rFonts w:ascii="Arial CE" w:hAnsi="Arial CE" w:cs="Arial CE"/>
                <w:sz w:val="17"/>
                <w:szCs w:val="17"/>
              </w:rPr>
            </w:pPr>
            <w:r>
              <w:rPr>
                <w:rFonts w:ascii="Arial CE" w:hAnsi="Arial CE" w:cs="Arial CE"/>
                <w:sz w:val="17"/>
                <w:szCs w:val="17"/>
              </w:rPr>
              <w:t>1,61 zł</w:t>
            </w:r>
          </w:p>
        </w:tc>
        <w:tc>
          <w:tcPr>
            <w:tcW w:w="0" w:type="auto"/>
            <w:shd w:val="clear" w:color="auto" w:fill="FFFF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2.4.2014 r.</w:t>
            </w:r>
          </w:p>
        </w:tc>
      </w:tr>
      <w:tr w:rsidR="006A719D">
        <w:trPr>
          <w:tblCellSpacing w:w="7" w:type="dxa"/>
          <w:jc w:val="right"/>
        </w:trPr>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03.04.2014</w:t>
            </w:r>
          </w:p>
        </w:tc>
        <w:tc>
          <w:tcPr>
            <w:tcW w:w="0" w:type="auto"/>
            <w:shd w:val="clear" w:color="auto" w:fill="F7FAFF"/>
            <w:vAlign w:val="center"/>
            <w:hideMark/>
          </w:tcPr>
          <w:p w:rsidR="006A719D" w:rsidRDefault="00F9215E">
            <w:pPr>
              <w:rPr>
                <w:rFonts w:ascii="Arial CE" w:hAnsi="Arial CE" w:cs="Arial CE"/>
                <w:sz w:val="17"/>
                <w:szCs w:val="17"/>
              </w:rPr>
            </w:pPr>
            <w:hyperlink r:id="rId31"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7FA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7FAFF"/>
            <w:vAlign w:val="center"/>
            <w:hideMark/>
          </w:tcPr>
          <w:p w:rsidR="006A719D" w:rsidRDefault="006A719D">
            <w:pPr>
              <w:jc w:val="right"/>
              <w:rPr>
                <w:rFonts w:ascii="Arial CE" w:hAnsi="Arial CE" w:cs="Arial CE"/>
                <w:sz w:val="17"/>
                <w:szCs w:val="17"/>
              </w:rPr>
            </w:pPr>
            <w:r>
              <w:rPr>
                <w:rFonts w:ascii="Arial CE" w:hAnsi="Arial CE" w:cs="Arial CE"/>
                <w:sz w:val="17"/>
                <w:szCs w:val="17"/>
              </w:rPr>
              <w:t>14 057</w:t>
            </w:r>
          </w:p>
        </w:tc>
        <w:tc>
          <w:tcPr>
            <w:tcW w:w="0" w:type="auto"/>
            <w:shd w:val="clear" w:color="auto" w:fill="F7FAFF"/>
            <w:vAlign w:val="center"/>
            <w:hideMark/>
          </w:tcPr>
          <w:p w:rsidR="006A719D" w:rsidRDefault="006A719D">
            <w:pPr>
              <w:jc w:val="center"/>
              <w:rPr>
                <w:rFonts w:ascii="Arial CE" w:hAnsi="Arial CE" w:cs="Arial CE"/>
                <w:sz w:val="17"/>
                <w:szCs w:val="17"/>
              </w:rPr>
            </w:pPr>
            <w:r>
              <w:rPr>
                <w:rFonts w:ascii="Arial CE" w:hAnsi="Arial CE" w:cs="Arial CE"/>
                <w:sz w:val="17"/>
                <w:szCs w:val="17"/>
              </w:rPr>
              <w:t>1,61 zł</w:t>
            </w:r>
          </w:p>
        </w:tc>
        <w:tc>
          <w:tcPr>
            <w:tcW w:w="0" w:type="auto"/>
            <w:shd w:val="clear" w:color="auto" w:fill="F7FA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2.4.2014 r.</w:t>
            </w:r>
          </w:p>
        </w:tc>
      </w:tr>
      <w:tr w:rsidR="006A719D">
        <w:trPr>
          <w:tblCellSpacing w:w="7" w:type="dxa"/>
          <w:jc w:val="right"/>
        </w:trPr>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03.04.2014</w:t>
            </w:r>
          </w:p>
        </w:tc>
        <w:tc>
          <w:tcPr>
            <w:tcW w:w="0" w:type="auto"/>
            <w:shd w:val="clear" w:color="auto" w:fill="FFFFFF"/>
            <w:vAlign w:val="center"/>
            <w:hideMark/>
          </w:tcPr>
          <w:p w:rsidR="006A719D" w:rsidRDefault="00F9215E">
            <w:pPr>
              <w:rPr>
                <w:rFonts w:ascii="Arial CE" w:hAnsi="Arial CE" w:cs="Arial CE"/>
                <w:sz w:val="17"/>
                <w:szCs w:val="17"/>
              </w:rPr>
            </w:pPr>
            <w:hyperlink r:id="rId32"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FFF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FFFFF"/>
            <w:vAlign w:val="center"/>
            <w:hideMark/>
          </w:tcPr>
          <w:p w:rsidR="006A719D" w:rsidRDefault="006A719D">
            <w:pPr>
              <w:jc w:val="right"/>
              <w:rPr>
                <w:rFonts w:ascii="Arial CE" w:hAnsi="Arial CE" w:cs="Arial CE"/>
                <w:sz w:val="17"/>
                <w:szCs w:val="17"/>
              </w:rPr>
            </w:pPr>
            <w:r>
              <w:rPr>
                <w:rFonts w:ascii="Arial CE" w:hAnsi="Arial CE" w:cs="Arial CE"/>
                <w:sz w:val="17"/>
                <w:szCs w:val="17"/>
              </w:rPr>
              <w:t>14 057</w:t>
            </w:r>
          </w:p>
        </w:tc>
        <w:tc>
          <w:tcPr>
            <w:tcW w:w="0" w:type="auto"/>
            <w:shd w:val="clear" w:color="auto" w:fill="FFFFFF"/>
            <w:vAlign w:val="center"/>
            <w:hideMark/>
          </w:tcPr>
          <w:p w:rsidR="006A719D" w:rsidRDefault="006A719D">
            <w:pPr>
              <w:jc w:val="center"/>
              <w:rPr>
                <w:rFonts w:ascii="Arial CE" w:hAnsi="Arial CE" w:cs="Arial CE"/>
                <w:sz w:val="17"/>
                <w:szCs w:val="17"/>
              </w:rPr>
            </w:pPr>
            <w:r>
              <w:rPr>
                <w:rFonts w:ascii="Arial CE" w:hAnsi="Arial CE" w:cs="Arial CE"/>
                <w:sz w:val="17"/>
                <w:szCs w:val="17"/>
              </w:rPr>
              <w:t>1,61 zł</w:t>
            </w:r>
          </w:p>
        </w:tc>
        <w:tc>
          <w:tcPr>
            <w:tcW w:w="0" w:type="auto"/>
            <w:shd w:val="clear" w:color="auto" w:fill="FFFF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2.4.2014 r.</w:t>
            </w:r>
          </w:p>
        </w:tc>
      </w:tr>
      <w:tr w:rsidR="006A719D">
        <w:trPr>
          <w:tblCellSpacing w:w="7" w:type="dxa"/>
          <w:jc w:val="right"/>
        </w:trPr>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30.10.2013</w:t>
            </w:r>
          </w:p>
        </w:tc>
        <w:tc>
          <w:tcPr>
            <w:tcW w:w="0" w:type="auto"/>
            <w:shd w:val="clear" w:color="auto" w:fill="F7FAFF"/>
            <w:vAlign w:val="center"/>
            <w:hideMark/>
          </w:tcPr>
          <w:p w:rsidR="006A719D" w:rsidRDefault="00F9215E">
            <w:pPr>
              <w:rPr>
                <w:rFonts w:ascii="Arial CE" w:hAnsi="Arial CE" w:cs="Arial CE"/>
                <w:sz w:val="17"/>
                <w:szCs w:val="17"/>
              </w:rPr>
            </w:pPr>
            <w:hyperlink r:id="rId33"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sprzedaż</w:t>
            </w:r>
          </w:p>
        </w:tc>
        <w:tc>
          <w:tcPr>
            <w:tcW w:w="0" w:type="auto"/>
            <w:shd w:val="clear" w:color="auto" w:fill="F7FA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7FAFF"/>
            <w:vAlign w:val="center"/>
            <w:hideMark/>
          </w:tcPr>
          <w:p w:rsidR="006A719D" w:rsidRDefault="006A719D">
            <w:pPr>
              <w:jc w:val="right"/>
              <w:rPr>
                <w:rFonts w:ascii="Arial CE" w:hAnsi="Arial CE" w:cs="Arial CE"/>
                <w:sz w:val="17"/>
                <w:szCs w:val="17"/>
              </w:rPr>
            </w:pPr>
            <w:r>
              <w:rPr>
                <w:rFonts w:ascii="Arial CE" w:hAnsi="Arial CE" w:cs="Arial CE"/>
                <w:sz w:val="17"/>
                <w:szCs w:val="17"/>
              </w:rPr>
              <w:t>25 000</w:t>
            </w:r>
          </w:p>
        </w:tc>
        <w:tc>
          <w:tcPr>
            <w:tcW w:w="0" w:type="auto"/>
            <w:shd w:val="clear" w:color="auto" w:fill="F7FAFF"/>
            <w:vAlign w:val="center"/>
            <w:hideMark/>
          </w:tcPr>
          <w:p w:rsidR="006A719D" w:rsidRDefault="006A719D">
            <w:pPr>
              <w:jc w:val="center"/>
              <w:rPr>
                <w:rFonts w:ascii="Arial CE" w:hAnsi="Arial CE" w:cs="Arial CE"/>
                <w:sz w:val="17"/>
                <w:szCs w:val="17"/>
              </w:rPr>
            </w:pPr>
            <w:r>
              <w:rPr>
                <w:rFonts w:ascii="Arial CE" w:hAnsi="Arial CE" w:cs="Arial CE"/>
                <w:sz w:val="17"/>
                <w:szCs w:val="17"/>
              </w:rPr>
              <w:t>0,21 zł</w:t>
            </w:r>
          </w:p>
        </w:tc>
        <w:tc>
          <w:tcPr>
            <w:tcW w:w="0" w:type="auto"/>
            <w:shd w:val="clear" w:color="auto" w:fill="F7FA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30.10.2013 r.</w:t>
            </w:r>
          </w:p>
        </w:tc>
      </w:tr>
      <w:tr w:rsidR="006A719D">
        <w:trPr>
          <w:tblCellSpacing w:w="7" w:type="dxa"/>
          <w:jc w:val="right"/>
        </w:trPr>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30.10.2013</w:t>
            </w:r>
          </w:p>
        </w:tc>
        <w:tc>
          <w:tcPr>
            <w:tcW w:w="0" w:type="auto"/>
            <w:shd w:val="clear" w:color="auto" w:fill="FFFFFF"/>
            <w:vAlign w:val="center"/>
            <w:hideMark/>
          </w:tcPr>
          <w:p w:rsidR="006A719D" w:rsidRDefault="00F9215E">
            <w:pPr>
              <w:rPr>
                <w:rFonts w:ascii="Arial CE" w:hAnsi="Arial CE" w:cs="Arial CE"/>
                <w:sz w:val="17"/>
                <w:szCs w:val="17"/>
              </w:rPr>
            </w:pPr>
            <w:hyperlink r:id="rId34"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FFF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FFF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FFFFF"/>
            <w:vAlign w:val="center"/>
            <w:hideMark/>
          </w:tcPr>
          <w:p w:rsidR="006A719D" w:rsidRDefault="006A719D">
            <w:pPr>
              <w:jc w:val="right"/>
              <w:rPr>
                <w:rFonts w:ascii="Arial CE" w:hAnsi="Arial CE" w:cs="Arial CE"/>
                <w:sz w:val="17"/>
                <w:szCs w:val="17"/>
              </w:rPr>
            </w:pPr>
            <w:r>
              <w:rPr>
                <w:rFonts w:ascii="Arial CE" w:hAnsi="Arial CE" w:cs="Arial CE"/>
                <w:sz w:val="17"/>
                <w:szCs w:val="17"/>
              </w:rPr>
              <w:t>214 954</w:t>
            </w:r>
          </w:p>
        </w:tc>
        <w:tc>
          <w:tcPr>
            <w:tcW w:w="0" w:type="auto"/>
            <w:shd w:val="clear" w:color="auto" w:fill="FFFFFF"/>
            <w:vAlign w:val="center"/>
            <w:hideMark/>
          </w:tcPr>
          <w:p w:rsidR="006A719D" w:rsidRDefault="006A719D">
            <w:pPr>
              <w:jc w:val="center"/>
              <w:rPr>
                <w:rFonts w:ascii="Arial CE" w:hAnsi="Arial CE" w:cs="Arial CE"/>
                <w:sz w:val="17"/>
                <w:szCs w:val="17"/>
              </w:rPr>
            </w:pPr>
            <w:r>
              <w:rPr>
                <w:rFonts w:ascii="Arial CE" w:hAnsi="Arial CE" w:cs="Arial CE"/>
                <w:sz w:val="17"/>
                <w:szCs w:val="17"/>
              </w:rPr>
              <w:t>0,18 - 0,22 zł</w:t>
            </w:r>
          </w:p>
        </w:tc>
        <w:tc>
          <w:tcPr>
            <w:tcW w:w="0" w:type="auto"/>
            <w:shd w:val="clear" w:color="auto" w:fill="FFFF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23 - 30.10.2013 r.</w:t>
            </w:r>
          </w:p>
        </w:tc>
      </w:tr>
      <w:tr w:rsidR="006A719D">
        <w:trPr>
          <w:tblCellSpacing w:w="7" w:type="dxa"/>
          <w:jc w:val="right"/>
        </w:trPr>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22.10.2013</w:t>
            </w:r>
          </w:p>
        </w:tc>
        <w:tc>
          <w:tcPr>
            <w:tcW w:w="0" w:type="auto"/>
            <w:shd w:val="clear" w:color="auto" w:fill="F7FAFF"/>
            <w:vAlign w:val="center"/>
            <w:hideMark/>
          </w:tcPr>
          <w:p w:rsidR="006A719D" w:rsidRDefault="00F9215E">
            <w:pPr>
              <w:rPr>
                <w:rFonts w:ascii="Arial CE" w:hAnsi="Arial CE" w:cs="Arial CE"/>
                <w:sz w:val="17"/>
                <w:szCs w:val="17"/>
              </w:rPr>
            </w:pPr>
            <w:hyperlink r:id="rId35" w:history="1">
              <w:r w:rsidR="006A719D">
                <w:rPr>
                  <w:rStyle w:val="Hipercze"/>
                  <w:b/>
                  <w:bCs/>
                  <w:sz w:val="17"/>
                  <w:szCs w:val="17"/>
                </w:rPr>
                <w:t>IFCAPITAL</w:t>
              </w:r>
            </w:hyperlink>
            <w:r w:rsidR="006A719D">
              <w:rPr>
                <w:rFonts w:ascii="Arial CE" w:hAnsi="Arial CE" w:cs="Arial CE"/>
                <w:sz w:val="17"/>
                <w:szCs w:val="17"/>
              </w:rPr>
              <w:t xml:space="preserve"> (IFC)</w:t>
            </w:r>
          </w:p>
        </w:tc>
        <w:tc>
          <w:tcPr>
            <w:tcW w:w="0" w:type="auto"/>
            <w:shd w:val="clear" w:color="auto" w:fill="F7FAFF"/>
            <w:vAlign w:val="center"/>
            <w:hideMark/>
          </w:tcPr>
          <w:p w:rsidR="006A719D" w:rsidRDefault="006A719D">
            <w:pPr>
              <w:rPr>
                <w:rFonts w:ascii="Arial CE" w:hAnsi="Arial CE" w:cs="Arial CE"/>
                <w:sz w:val="17"/>
                <w:szCs w:val="17"/>
              </w:rPr>
            </w:pPr>
            <w:r>
              <w:rPr>
                <w:rFonts w:ascii="Arial CE" w:hAnsi="Arial CE" w:cs="Arial CE"/>
                <w:sz w:val="17"/>
                <w:szCs w:val="17"/>
              </w:rPr>
              <w:t>kupno</w:t>
            </w:r>
          </w:p>
        </w:tc>
        <w:tc>
          <w:tcPr>
            <w:tcW w:w="0" w:type="auto"/>
            <w:shd w:val="clear" w:color="auto" w:fill="F7FAFF"/>
            <w:vAlign w:val="center"/>
            <w:hideMark/>
          </w:tcPr>
          <w:p w:rsidR="006A719D" w:rsidRDefault="006A719D">
            <w:pPr>
              <w:rPr>
                <w:rFonts w:ascii="Arial CE" w:hAnsi="Arial CE" w:cs="Arial CE"/>
                <w:sz w:val="17"/>
                <w:szCs w:val="17"/>
              </w:rPr>
            </w:pPr>
            <w:proofErr w:type="spellStart"/>
            <w:r>
              <w:rPr>
                <w:rFonts w:ascii="Arial CE" w:hAnsi="Arial CE" w:cs="Arial CE"/>
                <w:sz w:val="17"/>
                <w:szCs w:val="17"/>
              </w:rPr>
              <w:t>insider</w:t>
            </w:r>
            <w:proofErr w:type="spellEnd"/>
          </w:p>
        </w:tc>
        <w:tc>
          <w:tcPr>
            <w:tcW w:w="0" w:type="auto"/>
            <w:shd w:val="clear" w:color="auto" w:fill="F7FAFF"/>
            <w:vAlign w:val="center"/>
            <w:hideMark/>
          </w:tcPr>
          <w:p w:rsidR="006A719D" w:rsidRDefault="006A719D">
            <w:pPr>
              <w:jc w:val="right"/>
              <w:rPr>
                <w:rFonts w:ascii="Arial CE" w:hAnsi="Arial CE" w:cs="Arial CE"/>
                <w:sz w:val="17"/>
                <w:szCs w:val="17"/>
              </w:rPr>
            </w:pPr>
            <w:r>
              <w:rPr>
                <w:rFonts w:ascii="Arial CE" w:hAnsi="Arial CE" w:cs="Arial CE"/>
                <w:sz w:val="17"/>
                <w:szCs w:val="17"/>
              </w:rPr>
              <w:t>285 707</w:t>
            </w:r>
          </w:p>
        </w:tc>
        <w:tc>
          <w:tcPr>
            <w:tcW w:w="0" w:type="auto"/>
            <w:shd w:val="clear" w:color="auto" w:fill="F7FAFF"/>
            <w:vAlign w:val="center"/>
            <w:hideMark/>
          </w:tcPr>
          <w:p w:rsidR="006A719D" w:rsidRDefault="006A719D">
            <w:pPr>
              <w:jc w:val="center"/>
              <w:rPr>
                <w:rFonts w:ascii="Arial CE" w:hAnsi="Arial CE" w:cs="Arial CE"/>
                <w:sz w:val="17"/>
                <w:szCs w:val="17"/>
              </w:rPr>
            </w:pPr>
            <w:r>
              <w:rPr>
                <w:rFonts w:ascii="Arial CE" w:hAnsi="Arial CE" w:cs="Arial CE"/>
                <w:sz w:val="17"/>
                <w:szCs w:val="17"/>
              </w:rPr>
              <w:t>0,18 zł</w:t>
            </w:r>
          </w:p>
        </w:tc>
        <w:tc>
          <w:tcPr>
            <w:tcW w:w="0" w:type="auto"/>
            <w:shd w:val="clear" w:color="auto" w:fill="F7FAFF"/>
            <w:vAlign w:val="center"/>
            <w:hideMark/>
          </w:tcPr>
          <w:p w:rsidR="006A719D" w:rsidRDefault="006A719D">
            <w:pPr>
              <w:rPr>
                <w:rFonts w:ascii="Arial CE" w:hAnsi="Arial CE" w:cs="Arial CE"/>
                <w:color w:val="000000"/>
                <w:sz w:val="15"/>
                <w:szCs w:val="15"/>
              </w:rPr>
            </w:pPr>
            <w:r>
              <w:rPr>
                <w:rFonts w:ascii="Arial CE" w:hAnsi="Arial CE" w:cs="Arial CE"/>
                <w:color w:val="000000"/>
                <w:sz w:val="15"/>
                <w:szCs w:val="15"/>
              </w:rPr>
              <w:t>14 - 21.10.2013 r.</w:t>
            </w:r>
          </w:p>
        </w:tc>
      </w:tr>
    </w:tbl>
    <w:p w:rsidR="006A719D" w:rsidRDefault="006A719D" w:rsidP="009D338C">
      <w:pPr>
        <w:pStyle w:val="Bezodstpw"/>
        <w:jc w:val="both"/>
      </w:pPr>
    </w:p>
    <w:p w:rsidR="009D338C" w:rsidRDefault="009D338C" w:rsidP="009D338C">
      <w:pPr>
        <w:pStyle w:val="Bezodstpw"/>
        <w:jc w:val="both"/>
      </w:pPr>
      <w:r w:rsidRPr="00524359">
        <w:rPr>
          <w:b/>
          <w:color w:val="FF0000"/>
        </w:rPr>
        <w:t xml:space="preserve">Przykład </w:t>
      </w:r>
      <w:r w:rsidR="00A916CE" w:rsidRPr="00524359">
        <w:rPr>
          <w:b/>
          <w:color w:val="FF0000"/>
        </w:rPr>
        <w:t>czwarty</w:t>
      </w:r>
      <w:r>
        <w:t xml:space="preserve">: inwestor Ziemowit może powiedzieć: ,,jestem skłonny kupić akcje spółki IF Capital, </w:t>
      </w:r>
      <w:r w:rsidR="00A916CE">
        <w:t xml:space="preserve">nie tylko dlatego, że </w:t>
      </w:r>
      <w:r>
        <w:t xml:space="preserve">wybiły się z formacji podwójnego dna, lecz także dlatego, że </w:t>
      </w:r>
      <w:r w:rsidRPr="008D44AA">
        <w:rPr>
          <w:b/>
          <w:u w:val="single"/>
        </w:rPr>
        <w:t>na wykresie cen akcji tej spółki pojawiły się pozytywne dywergencje cenionego przeze mnie wskaźnika technicznego MACD z kursem na wykresie dziennym</w:t>
      </w:r>
      <w:r>
        <w:t>, co świadczy o tym, że odnotowywany w ostatnich miesiącach trend spadkowy wytraca swój impet”</w:t>
      </w:r>
    </w:p>
    <w:p w:rsidR="006A719D" w:rsidRDefault="006A719D" w:rsidP="009D338C">
      <w:pPr>
        <w:pStyle w:val="Bezodstpw"/>
        <w:jc w:val="both"/>
      </w:pPr>
    </w:p>
    <w:p w:rsidR="006A719D" w:rsidRDefault="006A719D" w:rsidP="009D338C">
      <w:pPr>
        <w:pStyle w:val="Bezodstpw"/>
        <w:jc w:val="both"/>
      </w:pPr>
      <w:r>
        <w:rPr>
          <w:noProof/>
        </w:rPr>
        <w:drawing>
          <wp:inline distT="0" distB="0" distL="0" distR="0">
            <wp:extent cx="2419350" cy="1466850"/>
            <wp:effectExtent l="19050" t="0" r="0"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2419350" cy="1466850"/>
                    </a:xfrm>
                    <a:prstGeom prst="rect">
                      <a:avLst/>
                    </a:prstGeom>
                    <a:noFill/>
                  </pic:spPr>
                </pic:pic>
              </a:graphicData>
            </a:graphic>
          </wp:inline>
        </w:drawing>
      </w:r>
    </w:p>
    <w:p w:rsidR="006A719D" w:rsidRDefault="006A719D" w:rsidP="009D338C">
      <w:pPr>
        <w:pStyle w:val="Bezodstpw"/>
        <w:jc w:val="both"/>
      </w:pPr>
    </w:p>
    <w:p w:rsidR="009D338C" w:rsidRPr="008D44AA" w:rsidRDefault="00524359" w:rsidP="009D338C">
      <w:pPr>
        <w:pStyle w:val="Bezodstpw"/>
        <w:jc w:val="both"/>
        <w:rPr>
          <w:b/>
          <w:u w:val="single"/>
        </w:rPr>
      </w:pPr>
      <w:r w:rsidRPr="00524359">
        <w:rPr>
          <w:b/>
          <w:color w:val="FF0000"/>
        </w:rPr>
        <w:lastRenderedPageBreak/>
        <w:t>Przykład piąty</w:t>
      </w:r>
      <w:r>
        <w:t xml:space="preserve">: </w:t>
      </w:r>
      <w:r w:rsidR="009D338C">
        <w:t xml:space="preserve">Dla równowagi warto przytoczyć słowa inwestora </w:t>
      </w:r>
      <w:r w:rsidR="00133742">
        <w:t>Cezarego</w:t>
      </w:r>
      <w:r w:rsidR="009D338C">
        <w:t xml:space="preserve">: ,,nie jestem skłonny </w:t>
      </w:r>
      <w:r w:rsidR="00133742">
        <w:t xml:space="preserve">nabyć ani jednej akcji spółki IF Capital, gdyż </w:t>
      </w:r>
      <w:r w:rsidR="00133742" w:rsidRPr="008D44AA">
        <w:rPr>
          <w:b/>
          <w:u w:val="single"/>
        </w:rPr>
        <w:t>spółka</w:t>
      </w:r>
      <w:r w:rsidR="00133742">
        <w:t xml:space="preserve"> ta w II kwartale 2014 roku </w:t>
      </w:r>
      <w:r w:rsidR="00133742" w:rsidRPr="008D44AA">
        <w:rPr>
          <w:b/>
          <w:u w:val="single"/>
        </w:rPr>
        <w:t>poniosła stratę netto</w:t>
      </w:r>
      <w:r w:rsidR="00133742">
        <w:t xml:space="preserve">, co mnie niepokoi, a ponadto </w:t>
      </w:r>
      <w:r w:rsidR="00133742" w:rsidRPr="008D44AA">
        <w:rPr>
          <w:b/>
          <w:u w:val="single"/>
        </w:rPr>
        <w:t>jej kurs charakteryzuje się silnym poziome</w:t>
      </w:r>
      <w:r w:rsidR="00C604E5">
        <w:rPr>
          <w:b/>
          <w:u w:val="single"/>
        </w:rPr>
        <w:t>m</w:t>
      </w:r>
      <w:r w:rsidR="00133742" w:rsidRPr="008D44AA">
        <w:rPr>
          <w:b/>
          <w:u w:val="single"/>
        </w:rPr>
        <w:t xml:space="preserve"> wahań, co przy mojej stosunkowo niskiej skłonności do podejmowania ryzyka wyklucza ten rodzaj akcji z mojego zainteresowania”</w:t>
      </w:r>
    </w:p>
    <w:p w:rsidR="006A719D" w:rsidRDefault="006A719D" w:rsidP="009D338C">
      <w:pPr>
        <w:pStyle w:val="Bezodstpw"/>
        <w:jc w:val="both"/>
      </w:pPr>
    </w:p>
    <w:p w:rsidR="006A719D" w:rsidRDefault="006A719D" w:rsidP="009D338C">
      <w:pPr>
        <w:pStyle w:val="Bezodstpw"/>
        <w:jc w:val="both"/>
      </w:pPr>
      <w:r>
        <w:t>Dane o wynikach finansowych spółki IF Capital można znaleźć tutaj:</w:t>
      </w:r>
    </w:p>
    <w:p w:rsidR="006A719D" w:rsidRDefault="006A719D" w:rsidP="009D338C">
      <w:pPr>
        <w:pStyle w:val="Bezodstpw"/>
        <w:jc w:val="both"/>
      </w:pPr>
    </w:p>
    <w:p w:rsidR="006A719D" w:rsidRDefault="00F9215E" w:rsidP="009D338C">
      <w:pPr>
        <w:pStyle w:val="Bezodstpw"/>
        <w:jc w:val="both"/>
      </w:pPr>
      <w:hyperlink r:id="rId37" w:history="1">
        <w:r w:rsidR="006A719D" w:rsidRPr="005F1393">
          <w:rPr>
            <w:rStyle w:val="Hipercze"/>
          </w:rPr>
          <w:t>http://mojeinwestycje.interia.pl/gie/prof/spolki/finanse?wlid=4466</w:t>
        </w:r>
      </w:hyperlink>
    </w:p>
    <w:tbl>
      <w:tblPr>
        <w:tblW w:w="4950" w:type="pct"/>
        <w:jc w:val="center"/>
        <w:tblCellSpacing w:w="15" w:type="dxa"/>
        <w:tblCellMar>
          <w:left w:w="0" w:type="dxa"/>
          <w:right w:w="0" w:type="dxa"/>
        </w:tblCellMar>
        <w:tblLook w:val="04A0"/>
      </w:tblPr>
      <w:tblGrid>
        <w:gridCol w:w="3413"/>
        <w:gridCol w:w="1107"/>
        <w:gridCol w:w="1107"/>
        <w:gridCol w:w="1107"/>
        <w:gridCol w:w="1183"/>
        <w:gridCol w:w="1122"/>
      </w:tblGrid>
      <w:tr w:rsidR="006A719D" w:rsidRPr="006A719D">
        <w:trPr>
          <w:tblCellSpacing w:w="15" w:type="dxa"/>
          <w:jc w:val="center"/>
        </w:trPr>
        <w:tc>
          <w:tcPr>
            <w:tcW w:w="0" w:type="auto"/>
            <w:gridSpan w:val="6"/>
            <w:vAlign w:val="center"/>
            <w:hideMark/>
          </w:tcPr>
          <w:p w:rsidR="006A719D" w:rsidRPr="006A719D" w:rsidRDefault="006A719D" w:rsidP="006A719D">
            <w:pPr>
              <w:spacing w:after="0" w:line="240" w:lineRule="auto"/>
              <w:jc w:val="center"/>
              <w:rPr>
                <w:rFonts w:ascii="Arial CE" w:eastAsia="Times New Roman" w:hAnsi="Arial CE" w:cs="Arial CE"/>
                <w:b/>
                <w:bCs/>
                <w:color w:val="336699"/>
                <w:sz w:val="17"/>
                <w:szCs w:val="17"/>
              </w:rPr>
            </w:pPr>
            <w:r w:rsidRPr="006A719D">
              <w:rPr>
                <w:rFonts w:ascii="Arial CE" w:eastAsia="Times New Roman" w:hAnsi="Arial CE" w:cs="Arial CE"/>
                <w:b/>
                <w:bCs/>
                <w:color w:val="336699"/>
                <w:sz w:val="17"/>
                <w:szCs w:val="17"/>
              </w:rPr>
              <w:t>RAPORTY KWARTALNE</w:t>
            </w:r>
          </w:p>
        </w:tc>
      </w:tr>
      <w:tr w:rsidR="006A719D" w:rsidRPr="006A719D" w:rsidTr="005405C6">
        <w:trPr>
          <w:tblCellSpacing w:w="15" w:type="dxa"/>
          <w:jc w:val="center"/>
        </w:trPr>
        <w:tc>
          <w:tcPr>
            <w:tcW w:w="1908" w:type="pct"/>
            <w:shd w:val="clear" w:color="auto" w:fill="E0EFFB"/>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 xml:space="preserve">Dane finansowe - w tys. PLN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IIQ'13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IIIQ'13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IVQ'13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IQ'14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IIQ'14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Przychody netto ze sprzedaży</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40,00 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35,00 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20,00 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85,00 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76,00 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z działalności operacyjnej</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-32,00 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-23,00 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-58,00 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8,00 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brutto</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435,00 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-511,00 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1 130,00 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4 063,00 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-16,00 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netto</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226,00 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-420,00 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903,00 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3 191,00 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-18,00 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Aktywa razem</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30 365,00 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29 935,00 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31 103,00 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34 866,00 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34 844,00 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Kapitał własny</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29 451,00 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29 031,00 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29 934,00 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33 125,00 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33 107,00 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 xml:space="preserve">Liczba akcji na koniec okresu (tys. </w:t>
            </w:r>
            <w:proofErr w:type="spellStart"/>
            <w:r w:rsidRPr="006A719D">
              <w:rPr>
                <w:rFonts w:ascii="Arial CE" w:eastAsia="Times New Roman" w:hAnsi="Arial CE" w:cs="Arial CE"/>
                <w:sz w:val="17"/>
                <w:szCs w:val="17"/>
              </w:rPr>
              <w:t>szt</w:t>
            </w:r>
            <w:proofErr w:type="spellEnd"/>
            <w:r w:rsidRPr="006A719D">
              <w:rPr>
                <w:rFonts w:ascii="Arial CE" w:eastAsia="Times New Roman" w:hAnsi="Arial CE" w:cs="Arial CE"/>
                <w:sz w:val="17"/>
                <w:szCs w:val="17"/>
              </w:rPr>
              <w:t>)</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45 047,92 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45 047,92 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45 047,92 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7 507,99 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7 507,99 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Wartość księgowa na jedną akcję</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0,654 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0,644 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0,664 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4,412 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4,410 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na jedną akcję</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0,005 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-0,009 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0,020 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0,425 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-0,002 </w:t>
            </w:r>
          </w:p>
        </w:tc>
      </w:tr>
      <w:tr w:rsidR="006A719D" w:rsidRPr="006A719D">
        <w:trPr>
          <w:tblCellSpacing w:w="15" w:type="dxa"/>
          <w:jc w:val="center"/>
        </w:trPr>
        <w:tc>
          <w:tcPr>
            <w:tcW w:w="0" w:type="auto"/>
            <w:gridSpan w:val="6"/>
            <w:vAlign w:val="center"/>
            <w:hideMark/>
          </w:tcPr>
          <w:p w:rsidR="006A719D" w:rsidRPr="006A719D" w:rsidRDefault="006A719D" w:rsidP="006A719D">
            <w:pPr>
              <w:spacing w:after="0" w:line="240" w:lineRule="auto"/>
              <w:jc w:val="center"/>
              <w:rPr>
                <w:rFonts w:ascii="Arial CE" w:eastAsia="Times New Roman" w:hAnsi="Arial CE" w:cs="Arial CE"/>
                <w:b/>
                <w:bCs/>
                <w:color w:val="336699"/>
                <w:sz w:val="17"/>
                <w:szCs w:val="17"/>
              </w:rPr>
            </w:pPr>
            <w:r w:rsidRPr="006A719D">
              <w:rPr>
                <w:rFonts w:ascii="Arial CE" w:eastAsia="Times New Roman" w:hAnsi="Arial CE" w:cs="Arial CE"/>
                <w:b/>
                <w:bCs/>
                <w:color w:val="336699"/>
                <w:sz w:val="17"/>
                <w:szCs w:val="17"/>
              </w:rPr>
              <w:t>RAPORTY ROCZNE</w:t>
            </w:r>
          </w:p>
        </w:tc>
      </w:tr>
      <w:tr w:rsidR="006A719D" w:rsidRPr="006A719D" w:rsidTr="005405C6">
        <w:trPr>
          <w:tblCellSpacing w:w="15" w:type="dxa"/>
          <w:jc w:val="center"/>
        </w:trPr>
        <w:tc>
          <w:tcPr>
            <w:tcW w:w="1908" w:type="pct"/>
            <w:shd w:val="clear" w:color="auto" w:fill="E0EFFB"/>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 xml:space="preserve">Dane finansowe - w tys. PLN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2009 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2010 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2011 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2012 </w:t>
            </w:r>
          </w:p>
        </w:tc>
        <w:tc>
          <w:tcPr>
            <w:tcW w:w="0" w:type="auto"/>
            <w:shd w:val="clear" w:color="auto" w:fill="E0EFFB"/>
            <w:vAlign w:val="center"/>
            <w:hideMark/>
          </w:tcPr>
          <w:p w:rsidR="006A719D" w:rsidRPr="006A719D" w:rsidRDefault="006A719D" w:rsidP="006A719D">
            <w:pPr>
              <w:spacing w:after="0" w:line="240" w:lineRule="auto"/>
              <w:jc w:val="center"/>
              <w:rPr>
                <w:rFonts w:ascii="Arial CE" w:eastAsia="Times New Roman" w:hAnsi="Arial CE" w:cs="Arial CE"/>
                <w:sz w:val="17"/>
                <w:szCs w:val="17"/>
              </w:rPr>
            </w:pPr>
            <w:r w:rsidRPr="006A719D">
              <w:rPr>
                <w:rFonts w:ascii="Arial CE" w:eastAsia="Times New Roman" w:hAnsi="Arial CE" w:cs="Arial CE"/>
                <w:sz w:val="17"/>
                <w:szCs w:val="17"/>
              </w:rPr>
              <w:t>2013 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Przychody netto ze sprzedaży</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48 964,00 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47 337,00 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41 560,00 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2 623,00 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95,00 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z działalności operacyjnej</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-2 535,00 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-1 477,00 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-7 137,00 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3 675,00 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-183,00 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brutto</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-2 670,00 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-1 735,00 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-7 691,00 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-94 358,00 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2 476,00 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netto</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-2 614,00 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-1 816,00 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-7 421,00 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-94 358,00 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1 666,00 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Aktywa razem</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21 762,00 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21 636,00 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15 302,00 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28 988,00 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31 103,00 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Kapitał własny</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10 300,00 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8 484,00 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1 063,00 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28 268,00 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29 934,00 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 xml:space="preserve">Liczba akcji na koniec okresu (tys. </w:t>
            </w:r>
            <w:proofErr w:type="spellStart"/>
            <w:r w:rsidRPr="006A719D">
              <w:rPr>
                <w:rFonts w:ascii="Arial CE" w:eastAsia="Times New Roman" w:hAnsi="Arial CE" w:cs="Arial CE"/>
                <w:sz w:val="17"/>
                <w:szCs w:val="17"/>
              </w:rPr>
              <w:t>szt</w:t>
            </w:r>
            <w:proofErr w:type="spellEnd"/>
            <w:r w:rsidRPr="006A719D">
              <w:rPr>
                <w:rFonts w:ascii="Arial CE" w:eastAsia="Times New Roman" w:hAnsi="Arial CE" w:cs="Arial CE"/>
                <w:sz w:val="17"/>
                <w:szCs w:val="17"/>
              </w:rPr>
              <w:t>)</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15 015,97 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15 015,97 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15 015,97 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45 047,92 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45 047,92 </w:t>
            </w:r>
          </w:p>
        </w:tc>
      </w:tr>
      <w:tr w:rsidR="006A719D" w:rsidRPr="006A719D">
        <w:trPr>
          <w:trHeight w:val="300"/>
          <w:tblCellSpacing w:w="15" w:type="dxa"/>
          <w:jc w:val="center"/>
        </w:trPr>
        <w:tc>
          <w:tcPr>
            <w:tcW w:w="0" w:type="auto"/>
            <w:shd w:val="clear" w:color="auto" w:fill="F7FA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Wartość księgowa na jedną akcję</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0,686 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0,565 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0,071 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0,628 </w:t>
            </w:r>
          </w:p>
        </w:tc>
        <w:tc>
          <w:tcPr>
            <w:tcW w:w="0" w:type="auto"/>
            <w:shd w:val="clear" w:color="auto" w:fill="F7FA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0,664 </w:t>
            </w:r>
          </w:p>
        </w:tc>
      </w:tr>
      <w:tr w:rsidR="006A719D" w:rsidRPr="006A719D">
        <w:trPr>
          <w:trHeight w:val="300"/>
          <w:tblCellSpacing w:w="15" w:type="dxa"/>
          <w:jc w:val="center"/>
        </w:trPr>
        <w:tc>
          <w:tcPr>
            <w:tcW w:w="0" w:type="auto"/>
            <w:shd w:val="clear" w:color="auto" w:fill="FFFFFF"/>
            <w:vAlign w:val="center"/>
            <w:hideMark/>
          </w:tcPr>
          <w:p w:rsidR="006A719D" w:rsidRPr="006A719D" w:rsidRDefault="006A719D" w:rsidP="006A719D">
            <w:pPr>
              <w:spacing w:after="0" w:line="240" w:lineRule="auto"/>
              <w:rPr>
                <w:rFonts w:ascii="Arial CE" w:eastAsia="Times New Roman" w:hAnsi="Arial CE" w:cs="Arial CE"/>
                <w:sz w:val="17"/>
                <w:szCs w:val="17"/>
              </w:rPr>
            </w:pPr>
            <w:r w:rsidRPr="006A719D">
              <w:rPr>
                <w:rFonts w:ascii="Arial CE" w:eastAsia="Times New Roman" w:hAnsi="Arial CE" w:cs="Arial CE"/>
                <w:sz w:val="17"/>
                <w:szCs w:val="17"/>
              </w:rPr>
              <w:t>Zysk (strata) na jedną akcję</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-0,174 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-0,121 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-0,494 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-2,095 </w:t>
            </w:r>
          </w:p>
        </w:tc>
        <w:tc>
          <w:tcPr>
            <w:tcW w:w="0" w:type="auto"/>
            <w:shd w:val="clear" w:color="auto" w:fill="FFFFFF"/>
            <w:vAlign w:val="center"/>
            <w:hideMark/>
          </w:tcPr>
          <w:p w:rsidR="006A719D" w:rsidRPr="006A719D" w:rsidRDefault="006A719D" w:rsidP="006A719D">
            <w:pPr>
              <w:spacing w:after="0" w:line="240" w:lineRule="auto"/>
              <w:jc w:val="right"/>
              <w:rPr>
                <w:rFonts w:ascii="Arial CE" w:eastAsia="Times New Roman" w:hAnsi="Arial CE" w:cs="Arial CE"/>
                <w:sz w:val="17"/>
                <w:szCs w:val="17"/>
              </w:rPr>
            </w:pPr>
            <w:r w:rsidRPr="006A719D">
              <w:rPr>
                <w:rFonts w:ascii="Arial CE" w:eastAsia="Times New Roman" w:hAnsi="Arial CE" w:cs="Arial CE"/>
                <w:sz w:val="17"/>
                <w:szCs w:val="17"/>
              </w:rPr>
              <w:t>0,037 </w:t>
            </w:r>
          </w:p>
        </w:tc>
      </w:tr>
      <w:tr w:rsidR="006A719D" w:rsidRPr="006A719D">
        <w:trPr>
          <w:tblCellSpacing w:w="15" w:type="dxa"/>
          <w:jc w:val="center"/>
        </w:trPr>
        <w:tc>
          <w:tcPr>
            <w:tcW w:w="0" w:type="auto"/>
            <w:gridSpan w:val="6"/>
            <w:vAlign w:val="center"/>
            <w:hideMark/>
          </w:tcPr>
          <w:p w:rsidR="006A719D" w:rsidRPr="006A719D" w:rsidRDefault="006A719D" w:rsidP="006A719D">
            <w:pPr>
              <w:spacing w:after="0" w:line="240" w:lineRule="auto"/>
              <w:rPr>
                <w:rFonts w:ascii="Arial CE" w:eastAsia="Times New Roman" w:hAnsi="Arial CE" w:cs="Arial CE"/>
                <w:sz w:val="17"/>
                <w:szCs w:val="17"/>
              </w:rPr>
            </w:pPr>
          </w:p>
          <w:tbl>
            <w:tblPr>
              <w:tblW w:w="5000" w:type="pct"/>
              <w:tblCellSpacing w:w="7" w:type="dxa"/>
              <w:tblCellMar>
                <w:left w:w="0" w:type="dxa"/>
                <w:right w:w="0" w:type="dxa"/>
              </w:tblCellMar>
              <w:tblLook w:val="04A0"/>
            </w:tblPr>
            <w:tblGrid>
              <w:gridCol w:w="8979"/>
            </w:tblGrid>
            <w:tr w:rsidR="006A719D" w:rsidRPr="006A719D">
              <w:trPr>
                <w:tblCellSpacing w:w="7" w:type="dxa"/>
              </w:trPr>
              <w:tc>
                <w:tcPr>
                  <w:tcW w:w="0" w:type="auto"/>
                  <w:shd w:val="clear" w:color="auto" w:fill="C0D9EC"/>
                  <w:vAlign w:val="center"/>
                  <w:hideMark/>
                </w:tcPr>
                <w:p w:rsidR="006A719D" w:rsidRPr="006A719D" w:rsidRDefault="006A719D" w:rsidP="006A719D">
                  <w:pPr>
                    <w:spacing w:after="0" w:line="240" w:lineRule="auto"/>
                    <w:rPr>
                      <w:rFonts w:ascii="Arial CE" w:eastAsia="Times New Roman" w:hAnsi="Arial CE" w:cs="Arial CE"/>
                      <w:sz w:val="17"/>
                      <w:szCs w:val="17"/>
                    </w:rPr>
                  </w:pPr>
                  <w:r>
                    <w:rPr>
                      <w:rFonts w:ascii="Arial CE" w:eastAsia="Times New Roman" w:hAnsi="Arial CE" w:cs="Arial CE"/>
                      <w:noProof/>
                      <w:sz w:val="17"/>
                      <w:szCs w:val="17"/>
                    </w:rPr>
                    <w:drawing>
                      <wp:inline distT="0" distB="0" distL="0" distR="0">
                        <wp:extent cx="9525" cy="19050"/>
                        <wp:effectExtent l="0" t="0" r="0" b="0"/>
                        <wp:docPr id="12" name="Obraz 6" descr="http://mojeinwestycje.interia.p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jeinwestycje.interia.pl/p.gif"/>
                                <pic:cNvPicPr>
                                  <a:picLocks noChangeAspect="1" noChangeArrowheads="1"/>
                                </pic:cNvPicPr>
                              </pic:nvPicPr>
                              <pic:blipFill>
                                <a:blip r:embed="rId38"/>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bl>
          <w:p w:rsidR="006A719D" w:rsidRPr="006A719D" w:rsidRDefault="006A719D" w:rsidP="006A719D">
            <w:pPr>
              <w:spacing w:after="0" w:line="240" w:lineRule="auto"/>
              <w:rPr>
                <w:rFonts w:ascii="Arial CE" w:eastAsia="Times New Roman" w:hAnsi="Arial CE" w:cs="Arial CE"/>
                <w:sz w:val="17"/>
                <w:szCs w:val="17"/>
              </w:rPr>
            </w:pPr>
          </w:p>
        </w:tc>
      </w:tr>
    </w:tbl>
    <w:p w:rsidR="005405C6" w:rsidRDefault="00133742" w:rsidP="009D338C">
      <w:pPr>
        <w:pStyle w:val="Bezodstpw"/>
        <w:jc w:val="both"/>
      </w:pPr>
      <w:r>
        <w:t>Powyższe przykłady pokazują, że pojawienie się wybicia z formacji podwójnego dna może prowadzić u poszczególnych os</w:t>
      </w:r>
      <w:r w:rsidR="00C604E5">
        <w:t xml:space="preserve">ób do bardzo różnych </w:t>
      </w:r>
      <w:r w:rsidR="00C604E5" w:rsidRPr="00025A6E">
        <w:rPr>
          <w:b/>
        </w:rPr>
        <w:t>przemyśleń</w:t>
      </w:r>
      <w:r w:rsidR="00C604E5">
        <w:t xml:space="preserve">. </w:t>
      </w:r>
      <w:r w:rsidR="00FC405B">
        <w:t xml:space="preserve">Warto przypomnieć, że w poprzednim numerze ,,Raportu Tygodniowego” z </w:t>
      </w:r>
      <w:r w:rsidR="00B77E0D">
        <w:t>15</w:t>
      </w:r>
      <w:r w:rsidR="00FC405B">
        <w:t xml:space="preserve"> września przedstawiłem </w:t>
      </w:r>
      <w:r w:rsidR="00FC405B" w:rsidRPr="000F5D79">
        <w:rPr>
          <w:b/>
        </w:rPr>
        <w:t>trzy przykładowe strategie</w:t>
      </w:r>
      <w:r w:rsidR="00FC405B">
        <w:t xml:space="preserve"> jakie mogą hipotetycznie przyjmować różni inwestorzy dokonując analizy skutków wyb</w:t>
      </w:r>
      <w:r w:rsidR="005405C6">
        <w:t>icia z formacji podwójnego dna (które potem skonkretyzowałem w stosunku do akcji Boryszewa)</w:t>
      </w:r>
    </w:p>
    <w:p w:rsidR="005405C6" w:rsidRDefault="005405C6" w:rsidP="009D338C">
      <w:pPr>
        <w:pStyle w:val="Bezodstpw"/>
        <w:jc w:val="both"/>
      </w:pPr>
    </w:p>
    <w:p w:rsidR="005405C6" w:rsidRDefault="00F9215E" w:rsidP="009D338C">
      <w:pPr>
        <w:pStyle w:val="Bezodstpw"/>
        <w:jc w:val="both"/>
      </w:pPr>
      <w:hyperlink r:id="rId39" w:history="1">
        <w:r w:rsidR="005405C6" w:rsidRPr="00AB2965">
          <w:rPr>
            <w:rStyle w:val="Hipercze"/>
          </w:rPr>
          <w:t>http://analizy-rynkowe.pl/wykres-przemyslenia-boryszew-trzy-strategie-myslenia-dzialania/</w:t>
        </w:r>
      </w:hyperlink>
    </w:p>
    <w:p w:rsidR="005405C6" w:rsidRDefault="005405C6" w:rsidP="009D338C">
      <w:pPr>
        <w:pStyle w:val="Bezodstpw"/>
        <w:jc w:val="both"/>
      </w:pPr>
    </w:p>
    <w:p w:rsidR="00133742" w:rsidRDefault="00FC405B" w:rsidP="009D338C">
      <w:pPr>
        <w:pStyle w:val="Bezodstpw"/>
        <w:jc w:val="both"/>
      </w:pPr>
      <w:r>
        <w:t xml:space="preserve">W poprzednim numerze ,,Raportu Tygodniowego” wprowadziłem po raz pierwszy rubrykę ,,Poczekalnia”, w której znaleźć się mogą przykładowe spółki, których akcje </w:t>
      </w:r>
      <w:r w:rsidRPr="00D13E74">
        <w:rPr>
          <w:b/>
        </w:rPr>
        <w:t>mają szansę</w:t>
      </w:r>
      <w:r>
        <w:t xml:space="preserve"> </w:t>
      </w:r>
      <w:r w:rsidR="00B77E0D">
        <w:t>(</w:t>
      </w:r>
      <w:r w:rsidR="00D13E74">
        <w:t xml:space="preserve">!) </w:t>
      </w:r>
      <w:r>
        <w:t xml:space="preserve">wybić się z podwójnego dna, ale jeszcze tego nie uczyniły. Spółkami tymi są obecnie: </w:t>
      </w:r>
      <w:r w:rsidRPr="00D13E74">
        <w:rPr>
          <w:b/>
        </w:rPr>
        <w:t>Relpol oraz Capital Partners</w:t>
      </w:r>
      <w:r>
        <w:t xml:space="preserve">. </w:t>
      </w:r>
    </w:p>
    <w:p w:rsidR="00FC405B" w:rsidRDefault="00FC405B" w:rsidP="009D338C">
      <w:pPr>
        <w:pStyle w:val="Bezodstpw"/>
        <w:jc w:val="both"/>
      </w:pPr>
    </w:p>
    <w:p w:rsidR="00FC405B" w:rsidRDefault="00F9215E" w:rsidP="009D338C">
      <w:pPr>
        <w:pStyle w:val="Bezodstpw"/>
        <w:jc w:val="both"/>
      </w:pPr>
      <w:hyperlink r:id="rId40" w:history="1">
        <w:r w:rsidR="00FC405B" w:rsidRPr="00665116">
          <w:rPr>
            <w:rStyle w:val="Hipercze"/>
          </w:rPr>
          <w:t>http://analizy-rynkowe.pl/poczekalnia-relpol/</w:t>
        </w:r>
      </w:hyperlink>
    </w:p>
    <w:p w:rsidR="00FC405B" w:rsidRDefault="00FC405B" w:rsidP="009D338C">
      <w:pPr>
        <w:pStyle w:val="Bezodstpw"/>
        <w:jc w:val="both"/>
      </w:pPr>
    </w:p>
    <w:p w:rsidR="00FC405B" w:rsidRDefault="00F9215E" w:rsidP="009D338C">
      <w:pPr>
        <w:pStyle w:val="Bezodstpw"/>
        <w:jc w:val="both"/>
      </w:pPr>
      <w:hyperlink r:id="rId41" w:history="1">
        <w:r w:rsidR="00FC405B" w:rsidRPr="00665116">
          <w:rPr>
            <w:rStyle w:val="Hipercze"/>
          </w:rPr>
          <w:t>http://analizy-rynkowe.pl/poczekalnia-capital-partners/</w:t>
        </w:r>
      </w:hyperlink>
    </w:p>
    <w:p w:rsidR="00BB7939" w:rsidRDefault="00BB7939" w:rsidP="00BB7939">
      <w:pPr>
        <w:pStyle w:val="Bezodstpw"/>
        <w:jc w:val="both"/>
        <w:rPr>
          <w:b/>
        </w:rPr>
      </w:pPr>
      <w:r w:rsidRPr="00684436">
        <w:rPr>
          <w:b/>
        </w:rPr>
        <w:lastRenderedPageBreak/>
        <w:t xml:space="preserve">Wnioski końcowe </w:t>
      </w:r>
    </w:p>
    <w:p w:rsidR="00BB7939" w:rsidRDefault="00BB7939" w:rsidP="00BB7939">
      <w:pPr>
        <w:pStyle w:val="Bezodstpw"/>
        <w:jc w:val="both"/>
        <w:rPr>
          <w:b/>
        </w:rPr>
      </w:pPr>
    </w:p>
    <w:p w:rsidR="00BB7939" w:rsidRDefault="00BB7939" w:rsidP="00BB7939">
      <w:pPr>
        <w:pStyle w:val="Bezodstpw"/>
        <w:numPr>
          <w:ilvl w:val="0"/>
          <w:numId w:val="1"/>
        </w:numPr>
        <w:jc w:val="both"/>
      </w:pPr>
      <w:r w:rsidRPr="00BE556A">
        <w:rPr>
          <w:b/>
        </w:rPr>
        <w:t>Kurs dolara (w złotych)</w:t>
      </w:r>
      <w:r w:rsidRPr="00ED5598">
        <w:t xml:space="preserve"> powinien w tym roku zmierzać </w:t>
      </w:r>
      <w:r w:rsidRPr="00BE556A">
        <w:rPr>
          <w:b/>
        </w:rPr>
        <w:t>w kierunku długoterminowej spadkowej linii trendu</w:t>
      </w:r>
      <w:r w:rsidRPr="00ED5598">
        <w:t xml:space="preserve"> poprowadzonej przez szczyty z lutego 2009 roku oraz czerwca 2012 roku. Linia ta stanowi bardzo ważny opór. W chwili obecnej przebiega ona na poziomie </w:t>
      </w:r>
      <w:r w:rsidRPr="00BE556A">
        <w:rPr>
          <w:b/>
          <w:color w:val="FF0000"/>
        </w:rPr>
        <w:t>3,41</w:t>
      </w:r>
      <w:r>
        <w:rPr>
          <w:b/>
          <w:color w:val="FF0000"/>
        </w:rPr>
        <w:t>0</w:t>
      </w:r>
      <w:r w:rsidRPr="00BE556A">
        <w:rPr>
          <w:b/>
          <w:color w:val="FF0000"/>
        </w:rPr>
        <w:t>.</w:t>
      </w:r>
      <w:r w:rsidRPr="00ED5598">
        <w:t xml:space="preserve"> Z kolei </w:t>
      </w:r>
      <w:r w:rsidRPr="00BE556A">
        <w:rPr>
          <w:b/>
        </w:rPr>
        <w:t>kurs euro (w złotych)</w:t>
      </w:r>
      <w:r w:rsidRPr="00ED5598">
        <w:t xml:space="preserve"> znajduje się </w:t>
      </w:r>
      <w:r w:rsidRPr="00BE556A">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BE556A">
        <w:rPr>
          <w:b/>
          <w:color w:val="FF0000"/>
        </w:rPr>
        <w:t>4,27</w:t>
      </w:r>
      <w:r>
        <w:rPr>
          <w:b/>
          <w:color w:val="FF0000"/>
        </w:rPr>
        <w:t>4</w:t>
      </w:r>
      <w:r w:rsidRPr="00ED5598">
        <w:t xml:space="preserve">.  Oznacza to, że czeka nas jeszcze w tym roku prawdopodobnie fala umocnienia kursów walut zagranicznych (w złotych). </w:t>
      </w:r>
    </w:p>
    <w:p w:rsidR="00BB7939" w:rsidRDefault="00BB7939" w:rsidP="00BB7939">
      <w:pPr>
        <w:pStyle w:val="Bezodstpw"/>
        <w:ind w:left="720"/>
        <w:jc w:val="both"/>
      </w:pPr>
    </w:p>
    <w:p w:rsidR="00BB7939" w:rsidRDefault="00BB7939" w:rsidP="00BB7939">
      <w:pPr>
        <w:pStyle w:val="Bezodstpw"/>
        <w:numPr>
          <w:ilvl w:val="0"/>
          <w:numId w:val="1"/>
        </w:numPr>
        <w:jc w:val="both"/>
      </w:pPr>
      <w:r w:rsidRPr="00ED5598">
        <w:t xml:space="preserve">Analizując wykres indeksu </w:t>
      </w:r>
      <w:r w:rsidRPr="00BE556A">
        <w:rPr>
          <w:b/>
        </w:rPr>
        <w:t>WIG 20</w:t>
      </w:r>
      <w:r w:rsidRPr="00ED5598">
        <w:t xml:space="preserve"> w horyzoncie długoterminowym można dostrzec trwający kilkanaście miesięcy okres </w:t>
      </w:r>
      <w:r w:rsidRPr="00BE556A">
        <w:rPr>
          <w:b/>
        </w:rPr>
        <w:t>konsolidacj</w:t>
      </w:r>
      <w:r w:rsidRPr="00ED5598">
        <w:t xml:space="preserve">i. Sądzę, że jesteśmy przed bardzo silnym wybiciem z konsolidacji. Uważam, że szereg argumentów przemawia za tym, że będzie to </w:t>
      </w:r>
      <w:r w:rsidRPr="00BE556A">
        <w:rPr>
          <w:b/>
        </w:rPr>
        <w:t>silne wybicie w górę</w:t>
      </w:r>
      <w:r w:rsidRPr="00ED5598">
        <w:t xml:space="preserve">. Przemawiają za tym: zbliżanie się najbardziej korzystnej dla posiadaczy akcji fazy amerykańskiego cyklu prezydenckiego, brak przewartościowania polskich akcji z punktu widzenia wskaźnika C/WK, łagodna polityka pieniężna w wielu krajach, spadek cen surowców, który wraz z umocnienie dolara w euro działa antyinflacyjnie i sprzyja temu, aby amerykański bank centralny wciąż utrzymywał stopy procentowe na bardzo niskim poziomie. </w:t>
      </w:r>
    </w:p>
    <w:p w:rsidR="00BB7939" w:rsidRDefault="00BB7939" w:rsidP="00BB7939">
      <w:pPr>
        <w:pStyle w:val="Bezodstpw"/>
        <w:ind w:left="720"/>
        <w:jc w:val="both"/>
      </w:pPr>
    </w:p>
    <w:p w:rsidR="00BB7939" w:rsidRPr="00BB7939" w:rsidRDefault="00BB7939" w:rsidP="00BB7939">
      <w:pPr>
        <w:pStyle w:val="Bezodstpw"/>
        <w:numPr>
          <w:ilvl w:val="0"/>
          <w:numId w:val="1"/>
        </w:numPr>
        <w:jc w:val="both"/>
      </w:pPr>
      <w:r w:rsidRPr="00ED5598">
        <w:t xml:space="preserve">Można spodziewać się, że </w:t>
      </w:r>
      <w:r w:rsidRPr="00BB7939">
        <w:rPr>
          <w:b/>
        </w:rPr>
        <w:t>przed tym wybiciem czeka nas jeszcze prawdopodobnie faza krótkoterminowych spadków WIG-u 20</w:t>
      </w:r>
      <w:r w:rsidRPr="00ED5598">
        <w:t xml:space="preserve">, które często występują w okresie wrześniowo – październikowym. W historii GPW w Warszawie zawsze było tak, że w okresie  od początku sierpnia do końca października tego samego roku pojawiała się przynajmniej fala spadkowa która prowadziła do spadku indeksu WIG 20 od następującego najpierw maksimum do pojawiającego się później minimum o 5,0 %. Gdyby założyć, że lokalne maksimum zostało się osiągnięte 8 września, kiedy to WIG 20 ukształtował się na poziomie 2 551,47 pkt. to można przewidywać, że czekają nas </w:t>
      </w:r>
      <w:r>
        <w:t xml:space="preserve">krótkoterminowe </w:t>
      </w:r>
      <w:r w:rsidRPr="00ED5598">
        <w:t xml:space="preserve">spadki </w:t>
      </w:r>
      <w:r w:rsidRPr="00BB7939">
        <w:rPr>
          <w:b/>
        </w:rPr>
        <w:t xml:space="preserve">do poziomu </w:t>
      </w:r>
      <w:r w:rsidRPr="00BB7939">
        <w:rPr>
          <w:b/>
          <w:color w:val="FF0000"/>
        </w:rPr>
        <w:t>2 424,26 pkt</w:t>
      </w:r>
      <w:r w:rsidRPr="00BB7939">
        <w:rPr>
          <w:b/>
        </w:rPr>
        <w:t xml:space="preserve">. albo nawet do poziomu jeszcze niższego. </w:t>
      </w:r>
    </w:p>
    <w:p w:rsidR="00BB7939" w:rsidRPr="00BB7939" w:rsidRDefault="00BB7939" w:rsidP="00BB7939">
      <w:pPr>
        <w:pStyle w:val="Bezodstpw"/>
        <w:jc w:val="both"/>
      </w:pPr>
    </w:p>
    <w:p w:rsidR="00BB7939" w:rsidRPr="00BB7939" w:rsidRDefault="00BB7939" w:rsidP="00BB7939">
      <w:pPr>
        <w:pStyle w:val="Bezodstpw"/>
        <w:numPr>
          <w:ilvl w:val="0"/>
          <w:numId w:val="1"/>
        </w:numPr>
        <w:jc w:val="both"/>
        <w:rPr>
          <w:b/>
          <w:u w:val="single"/>
        </w:rPr>
      </w:pPr>
      <w:r w:rsidRPr="00ED5598">
        <w:t xml:space="preserve">Pojawienie się </w:t>
      </w:r>
      <w:r w:rsidRPr="00BB7939">
        <w:rPr>
          <w:b/>
          <w:color w:val="FF0000"/>
        </w:rPr>
        <w:t>młota</w:t>
      </w:r>
      <w:r w:rsidRPr="00ED5598">
        <w:t xml:space="preserve"> na wykresie siły względnej WIG250/WIG20 na wykresie świecowym tworzonym w oparciu o dane miesięczne stwarza szansę na to, że relatywna </w:t>
      </w:r>
      <w:r w:rsidRPr="00BB7939">
        <w:rPr>
          <w:b/>
        </w:rPr>
        <w:t>słabość akcji małych spółek kończy się</w:t>
      </w:r>
      <w:r w:rsidRPr="00ED5598">
        <w:t xml:space="preserve"> zwłaszcza, że doszło do wybicia z krótkoterminowej formacji podwójnego dna.</w:t>
      </w:r>
      <w:r>
        <w:t xml:space="preserve"> </w:t>
      </w:r>
      <w:r w:rsidRPr="00BB7939">
        <w:rPr>
          <w:b/>
          <w:u w:val="single"/>
        </w:rPr>
        <w:t>Perspektywa obniżania sto</w:t>
      </w:r>
      <w:r w:rsidR="00B77E0D">
        <w:rPr>
          <w:b/>
          <w:u w:val="single"/>
        </w:rPr>
        <w:t>p procentowych przez RPP powinna</w:t>
      </w:r>
      <w:r w:rsidRPr="00BB7939">
        <w:rPr>
          <w:b/>
          <w:u w:val="single"/>
        </w:rPr>
        <w:t xml:space="preserve"> generalnie rzecz biorąc podwyższyć skłonność do podejmowania ryzyka zwiększając tym samym skłonność uczestników polskiego rynku akcji do preferowania aktywów bardziej ryzykownych (akcji małych spółek) kosztem aktywów mniej ryzykownych (akcji spółek dużych). </w:t>
      </w:r>
    </w:p>
    <w:p w:rsidR="00BB7939" w:rsidRDefault="00BB7939" w:rsidP="00BB7939">
      <w:pPr>
        <w:pStyle w:val="Bezodstpw"/>
        <w:jc w:val="both"/>
      </w:pPr>
    </w:p>
    <w:p w:rsidR="00BB7939" w:rsidRDefault="00BB7939" w:rsidP="00BB7939">
      <w:pPr>
        <w:pStyle w:val="Bezodstpw"/>
        <w:jc w:val="both"/>
      </w:pPr>
      <w:r>
        <w:t xml:space="preserve">Opracował: </w:t>
      </w:r>
      <w:r w:rsidRPr="00AA453E">
        <w:t>Sławomir Kłusek</w:t>
      </w:r>
      <w:r>
        <w:t xml:space="preserve">, </w:t>
      </w:r>
      <w:r w:rsidR="00B77E0D">
        <w:t>22</w:t>
      </w:r>
      <w:r>
        <w:t xml:space="preserve"> września 2014 r.</w:t>
      </w:r>
    </w:p>
    <w:p w:rsidR="00BB7939" w:rsidRDefault="00BB7939" w:rsidP="00BB7939">
      <w:pPr>
        <w:pStyle w:val="Bezodstpw"/>
        <w:ind w:left="720"/>
        <w:jc w:val="both"/>
      </w:pPr>
    </w:p>
    <w:p w:rsidR="00BB7939" w:rsidRDefault="00BB7939" w:rsidP="00BB7939">
      <w:pPr>
        <w:pStyle w:val="Bezodstpw"/>
        <w:jc w:val="both"/>
      </w:pPr>
      <w:r>
        <w:t xml:space="preserve">Powyższy raport stanowi wyłącznie wyraz osobistych opinii autora. </w:t>
      </w:r>
    </w:p>
    <w:p w:rsidR="00BB7939" w:rsidRDefault="00BB7939" w:rsidP="00BB7939">
      <w:pPr>
        <w:pStyle w:val="Bezodstpw"/>
        <w:jc w:val="both"/>
      </w:pPr>
    </w:p>
    <w:p w:rsidR="00BB7939" w:rsidRDefault="00BB7939" w:rsidP="00BB7939">
      <w:pPr>
        <w:pStyle w:val="Bezodstpw"/>
        <w:jc w:val="both"/>
      </w:pPr>
      <w:r>
        <w:t xml:space="preserve">Treści zawarte na stronie internetowej </w:t>
      </w:r>
      <w:hyperlink r:id="rId42"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BB7939" w:rsidRDefault="00BB7939" w:rsidP="00BB7939">
      <w:pPr>
        <w:pStyle w:val="Bezodstpw"/>
        <w:jc w:val="both"/>
      </w:pPr>
    </w:p>
    <w:p w:rsidR="00BB7939" w:rsidRDefault="00BB7939" w:rsidP="009D338C">
      <w:pPr>
        <w:pStyle w:val="Bezodstpw"/>
        <w:jc w:val="both"/>
      </w:pPr>
      <w:r>
        <w:t xml:space="preserve">Autor nie ponosi odpowiedzialności za jakiekolwiek decyzje inwestycyjne podjęte na podstawie treści zawartych na stronie internetowej </w:t>
      </w:r>
      <w:hyperlink r:id="rId43" w:history="1">
        <w:r w:rsidRPr="00093965">
          <w:rPr>
            <w:rStyle w:val="Hipercze"/>
          </w:rPr>
          <w:t>www.analizy-rynkowe.pl</w:t>
        </w:r>
      </w:hyperlink>
    </w:p>
    <w:sectPr w:rsidR="00BB7939" w:rsidSect="00EF7AB8">
      <w:footerReference w:type="default" r:id="rId4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D6" w:rsidRDefault="00050CD6" w:rsidP="008D29EF">
      <w:pPr>
        <w:spacing w:after="0" w:line="240" w:lineRule="auto"/>
      </w:pPr>
      <w:r>
        <w:separator/>
      </w:r>
    </w:p>
  </w:endnote>
  <w:endnote w:type="continuationSeparator" w:id="0">
    <w:p w:rsidR="00050CD6" w:rsidRDefault="00050CD6" w:rsidP="008D2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5405C6" w:rsidRDefault="00F9215E">
        <w:pPr>
          <w:pStyle w:val="Stopka"/>
          <w:jc w:val="center"/>
        </w:pPr>
        <w:fldSimple w:instr="PAGE   \* MERGEFORMAT">
          <w:r w:rsidR="0031298C">
            <w:rPr>
              <w:noProof/>
            </w:rPr>
            <w:t>8</w:t>
          </w:r>
        </w:fldSimple>
      </w:p>
    </w:sdtContent>
  </w:sdt>
  <w:p w:rsidR="005405C6" w:rsidRDefault="005405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D6" w:rsidRDefault="00050CD6" w:rsidP="008D29EF">
      <w:pPr>
        <w:spacing w:after="0" w:line="240" w:lineRule="auto"/>
      </w:pPr>
      <w:r>
        <w:separator/>
      </w:r>
    </w:p>
  </w:footnote>
  <w:footnote w:type="continuationSeparator" w:id="0">
    <w:p w:rsidR="00050CD6" w:rsidRDefault="00050CD6" w:rsidP="008D2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5971"/>
    <w:multiLevelType w:val="hybridMultilevel"/>
    <w:tmpl w:val="E48EA368"/>
    <w:lvl w:ilvl="0" w:tplc="9F62016C">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263D7"/>
    <w:multiLevelType w:val="hybridMultilevel"/>
    <w:tmpl w:val="24B0EF42"/>
    <w:lvl w:ilvl="0" w:tplc="A642DB2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5D06"/>
    <w:rsid w:val="00025A6E"/>
    <w:rsid w:val="00025D06"/>
    <w:rsid w:val="00050CD6"/>
    <w:rsid w:val="000533C7"/>
    <w:rsid w:val="00054440"/>
    <w:rsid w:val="00075F49"/>
    <w:rsid w:val="00075F77"/>
    <w:rsid w:val="000B1269"/>
    <w:rsid w:val="000B12E9"/>
    <w:rsid w:val="000F5D79"/>
    <w:rsid w:val="000F6657"/>
    <w:rsid w:val="001167E8"/>
    <w:rsid w:val="00133742"/>
    <w:rsid w:val="00180D7B"/>
    <w:rsid w:val="001A2F06"/>
    <w:rsid w:val="001E4AB5"/>
    <w:rsid w:val="002316B6"/>
    <w:rsid w:val="0023724D"/>
    <w:rsid w:val="0026669F"/>
    <w:rsid w:val="0031298C"/>
    <w:rsid w:val="0032683C"/>
    <w:rsid w:val="00343B92"/>
    <w:rsid w:val="00355A57"/>
    <w:rsid w:val="00417720"/>
    <w:rsid w:val="00443EE2"/>
    <w:rsid w:val="0049725B"/>
    <w:rsid w:val="004B1F4A"/>
    <w:rsid w:val="004C5E89"/>
    <w:rsid w:val="004D7024"/>
    <w:rsid w:val="005027E4"/>
    <w:rsid w:val="0050631A"/>
    <w:rsid w:val="00524359"/>
    <w:rsid w:val="005405C6"/>
    <w:rsid w:val="005415BF"/>
    <w:rsid w:val="005E2251"/>
    <w:rsid w:val="006219BB"/>
    <w:rsid w:val="006A719D"/>
    <w:rsid w:val="00772083"/>
    <w:rsid w:val="00824BE8"/>
    <w:rsid w:val="00835319"/>
    <w:rsid w:val="0088013C"/>
    <w:rsid w:val="008D29EF"/>
    <w:rsid w:val="008D44AA"/>
    <w:rsid w:val="008D5F0C"/>
    <w:rsid w:val="009122D6"/>
    <w:rsid w:val="009648B9"/>
    <w:rsid w:val="00973ACE"/>
    <w:rsid w:val="009C172F"/>
    <w:rsid w:val="009D338C"/>
    <w:rsid w:val="00A916CE"/>
    <w:rsid w:val="00B00F43"/>
    <w:rsid w:val="00B77C2A"/>
    <w:rsid w:val="00B77E0D"/>
    <w:rsid w:val="00B80178"/>
    <w:rsid w:val="00B95E5C"/>
    <w:rsid w:val="00BB7939"/>
    <w:rsid w:val="00C1544C"/>
    <w:rsid w:val="00C604E5"/>
    <w:rsid w:val="00C7626F"/>
    <w:rsid w:val="00CC54A6"/>
    <w:rsid w:val="00CF0B23"/>
    <w:rsid w:val="00CF6C0F"/>
    <w:rsid w:val="00D13E74"/>
    <w:rsid w:val="00DA00E3"/>
    <w:rsid w:val="00DB2841"/>
    <w:rsid w:val="00DC75EF"/>
    <w:rsid w:val="00E0063A"/>
    <w:rsid w:val="00E16B58"/>
    <w:rsid w:val="00E93011"/>
    <w:rsid w:val="00EA7F64"/>
    <w:rsid w:val="00ED3F39"/>
    <w:rsid w:val="00ED6398"/>
    <w:rsid w:val="00EF38C9"/>
    <w:rsid w:val="00EF616B"/>
    <w:rsid w:val="00EF7AB8"/>
    <w:rsid w:val="00F45910"/>
    <w:rsid w:val="00F9215E"/>
    <w:rsid w:val="00FC405B"/>
    <w:rsid w:val="00FE051C"/>
    <w:rsid w:val="00FE44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D0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25D06"/>
    <w:pPr>
      <w:spacing w:after="0" w:line="240" w:lineRule="auto"/>
    </w:pPr>
    <w:rPr>
      <w:rFonts w:eastAsiaTheme="minorEastAsia"/>
      <w:lang w:eastAsia="pl-PL"/>
    </w:rPr>
  </w:style>
  <w:style w:type="paragraph" w:styleId="Stopka">
    <w:name w:val="footer"/>
    <w:basedOn w:val="Normalny"/>
    <w:link w:val="StopkaZnak"/>
    <w:uiPriority w:val="99"/>
    <w:unhideWhenUsed/>
    <w:rsid w:val="00025D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D06"/>
    <w:rPr>
      <w:rFonts w:eastAsiaTheme="minorEastAsia"/>
      <w:lang w:eastAsia="pl-PL"/>
    </w:rPr>
  </w:style>
  <w:style w:type="character" w:styleId="Hipercze">
    <w:name w:val="Hyperlink"/>
    <w:basedOn w:val="Domylnaczcionkaakapitu"/>
    <w:uiPriority w:val="99"/>
    <w:unhideWhenUsed/>
    <w:rsid w:val="00025D06"/>
    <w:rPr>
      <w:color w:val="0000FF" w:themeColor="hyperlink"/>
      <w:u w:val="single"/>
    </w:rPr>
  </w:style>
  <w:style w:type="table" w:styleId="Tabela-Siatka">
    <w:name w:val="Table Grid"/>
    <w:basedOn w:val="Standardowy"/>
    <w:uiPriority w:val="59"/>
    <w:rsid w:val="00025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25D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D06"/>
    <w:rPr>
      <w:rFonts w:ascii="Tahoma" w:eastAsiaTheme="minorEastAsia" w:hAnsi="Tahoma" w:cs="Tahoma"/>
      <w:sz w:val="16"/>
      <w:szCs w:val="16"/>
      <w:lang w:eastAsia="pl-PL"/>
    </w:rPr>
  </w:style>
  <w:style w:type="paragraph" w:styleId="Akapitzlist">
    <w:name w:val="List Paragraph"/>
    <w:basedOn w:val="Normalny"/>
    <w:uiPriority w:val="34"/>
    <w:qFormat/>
    <w:rsid w:val="00BB79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yperlink" Target="http://www.analizy-rynkowe.pl" TargetMode="External"/><Relationship Id="rId26" Type="http://schemas.openxmlformats.org/officeDocument/2006/relationships/hyperlink" Target="http://mojeinwestycje.interia.pl/gie/prof/spolki/akcje?wlid=4466" TargetMode="External"/><Relationship Id="rId39" Type="http://schemas.openxmlformats.org/officeDocument/2006/relationships/hyperlink" Target="http://analizy-rynkowe.pl/wykres-przemyslenia-boryszew-trzy-strategie-myslenia-dzialania/" TargetMode="External"/><Relationship Id="rId3" Type="http://schemas.openxmlformats.org/officeDocument/2006/relationships/settings" Target="settings.xml"/><Relationship Id="rId21" Type="http://schemas.openxmlformats.org/officeDocument/2006/relationships/image" Target="media/image12.gif"/><Relationship Id="rId34" Type="http://schemas.openxmlformats.org/officeDocument/2006/relationships/hyperlink" Target="http://mojeinwestycje.interia.pl/gie/prof/spolki/akcje?wlid=4466" TargetMode="External"/><Relationship Id="rId42" Type="http://schemas.openxmlformats.org/officeDocument/2006/relationships/hyperlink" Target="http://www.analizy-rynkowe.pl"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hyperlink" Target="http://mojeinwestycje.interia.pl/gie/narzedzia/insider?pole=IFC" TargetMode="External"/><Relationship Id="rId33" Type="http://schemas.openxmlformats.org/officeDocument/2006/relationships/hyperlink" Target="http://mojeinwestycje.interia.pl/gie/prof/spolki/akcje?wlid=4466" TargetMode="External"/><Relationship Id="rId38" Type="http://schemas.openxmlformats.org/officeDocument/2006/relationships/image" Target="media/image14.gi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ossa.pl/edukacja/AT/swiecowe/odwrrocenia/" TargetMode="External"/><Relationship Id="rId20" Type="http://schemas.openxmlformats.org/officeDocument/2006/relationships/hyperlink" Target="http://www.analizy-rynkowe.pl" TargetMode="External"/><Relationship Id="rId29" Type="http://schemas.openxmlformats.org/officeDocument/2006/relationships/hyperlink" Target="http://mojeinwestycje.interia.pl/gie/prof/spolki/akcje?wlid=4466" TargetMode="External"/><Relationship Id="rId41" Type="http://schemas.openxmlformats.org/officeDocument/2006/relationships/hyperlink" Target="http://analizy-rynkowe.pl/poczekalnia-capital-part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www.gpw.pl/analizy_i_statystyki_pelna_wersja" TargetMode="External"/><Relationship Id="rId32" Type="http://schemas.openxmlformats.org/officeDocument/2006/relationships/hyperlink" Target="http://mojeinwestycje.interia.pl/gie/prof/spolki/akcje?wlid=4466" TargetMode="External"/><Relationship Id="rId37" Type="http://schemas.openxmlformats.org/officeDocument/2006/relationships/hyperlink" Target="http://mojeinwestycje.interia.pl/gie/prof/spolki/finanse?wlid=4466" TargetMode="External"/><Relationship Id="rId40" Type="http://schemas.openxmlformats.org/officeDocument/2006/relationships/hyperlink" Target="http://analizy-rynkowe.pl/poczekalnia-relpo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stooq.pl/t/?i=513&amp;v=8&amp;o=9" TargetMode="External"/><Relationship Id="rId28" Type="http://schemas.openxmlformats.org/officeDocument/2006/relationships/hyperlink" Target="http://mojeinwestycje.interia.pl/gie/prof/spolki/akcje?wlid=4466" TargetMode="External"/><Relationship Id="rId36" Type="http://schemas.openxmlformats.org/officeDocument/2006/relationships/image" Target="media/image13.gif"/><Relationship Id="rId10" Type="http://schemas.openxmlformats.org/officeDocument/2006/relationships/image" Target="media/image4.gif"/><Relationship Id="rId19" Type="http://schemas.openxmlformats.org/officeDocument/2006/relationships/image" Target="media/image11.gif"/><Relationship Id="rId31" Type="http://schemas.openxmlformats.org/officeDocument/2006/relationships/hyperlink" Target="http://mojeinwestycje.interia.pl/gie/prof/spolki/akcje?wlid=4466"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www.stooq.com" TargetMode="External"/><Relationship Id="rId27" Type="http://schemas.openxmlformats.org/officeDocument/2006/relationships/hyperlink" Target="http://mojeinwestycje.interia.pl/gie/prof/spolki/akcje?wlid=4466" TargetMode="External"/><Relationship Id="rId30" Type="http://schemas.openxmlformats.org/officeDocument/2006/relationships/hyperlink" Target="http://mojeinwestycje.interia.pl/gie/prof/spolki/akcje?wlid=4466" TargetMode="External"/><Relationship Id="rId35" Type="http://schemas.openxmlformats.org/officeDocument/2006/relationships/hyperlink" Target="http://mojeinwestycje.interia.pl/gie/prof/spolki/akcje?wlid=4466" TargetMode="External"/><Relationship Id="rId43"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3376</Words>
  <Characters>20258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42</cp:revision>
  <dcterms:created xsi:type="dcterms:W3CDTF">2014-09-20T04:24:00Z</dcterms:created>
  <dcterms:modified xsi:type="dcterms:W3CDTF">2014-09-20T20:01:00Z</dcterms:modified>
</cp:coreProperties>
</file>